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7F7B" w14:textId="14B9A710" w:rsidR="00CC4C19" w:rsidRDefault="00DD2F42">
      <w:r>
        <w:rPr>
          <w:noProof/>
        </w:rPr>
        <w:drawing>
          <wp:inline distT="0" distB="0" distL="0" distR="0" wp14:anchorId="314ADC44" wp14:editId="536FD7AE">
            <wp:extent cx="654870" cy="695325"/>
            <wp:effectExtent l="0" t="0" r="0" b="0"/>
            <wp:docPr id="1888312031" name="Immagine 1" descr="Immagine che contiene Elementi grafici, grafica, Carattere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312031" name="Immagine 1" descr="Immagine che contiene Elementi grafici, grafica, Carattere, clipar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29" cy="6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F98CF" w14:textId="198906C4" w:rsidR="00DD2F42" w:rsidRDefault="00DD2F42" w:rsidP="00DD2F42">
      <w:pPr>
        <w:spacing w:after="0"/>
        <w:jc w:val="center"/>
        <w:rPr>
          <w:rFonts w:ascii="Tekton Pro" w:hAnsi="Tekton Pro" w:cs="Times New Roman"/>
          <w:b/>
          <w:bCs/>
          <w:color w:val="008080"/>
          <w:sz w:val="40"/>
          <w:szCs w:val="40"/>
          <w:u w:val="single"/>
        </w:rPr>
      </w:pPr>
      <w:r w:rsidRPr="00891FDF">
        <w:rPr>
          <w:rFonts w:ascii="Tekton Pro" w:hAnsi="Tekton Pro" w:cs="Times New Roman"/>
          <w:b/>
          <w:bCs/>
          <w:color w:val="008080"/>
          <w:sz w:val="40"/>
          <w:szCs w:val="40"/>
          <w:u w:val="single"/>
        </w:rPr>
        <w:t>Visita guidata al</w:t>
      </w:r>
    </w:p>
    <w:p w14:paraId="6CAB5081" w14:textId="67EB99B4" w:rsidR="00DD2F42" w:rsidRPr="00DD2F42" w:rsidRDefault="00DD2F42" w:rsidP="00DD2F42">
      <w:pPr>
        <w:spacing w:after="0"/>
        <w:jc w:val="center"/>
        <w:rPr>
          <w:rFonts w:ascii="DejaVuSerif-Bold" w:eastAsia="Times New Roman" w:hAnsi="DejaVuSerif-Bold" w:cs="DejaVuSerif-Bold"/>
          <w:b/>
          <w:bCs/>
          <w:color w:val="203F77"/>
          <w:kern w:val="0"/>
          <w:sz w:val="52"/>
          <w:szCs w:val="52"/>
          <w:lang w:eastAsia="it-IT"/>
          <w14:ligatures w14:val="none"/>
        </w:rPr>
      </w:pPr>
      <w:r w:rsidRPr="00DD2F42">
        <w:rPr>
          <w:rFonts w:ascii="DejaVuSerif-Bold" w:eastAsia="Times New Roman" w:hAnsi="DejaVuSerif-Bold" w:cs="DejaVuSerif-Bold"/>
          <w:b/>
          <w:bCs/>
          <w:color w:val="203F77"/>
          <w:kern w:val="0"/>
          <w:sz w:val="52"/>
          <w:szCs w:val="52"/>
          <w:lang w:eastAsia="it-IT"/>
          <w14:ligatures w14:val="none"/>
        </w:rPr>
        <w:t>Bunker e Rifugio antiaereo di Villa Torlonia</w:t>
      </w:r>
    </w:p>
    <w:p w14:paraId="1D0FF5EF" w14:textId="0FCDDE6E" w:rsidR="00DD2F42" w:rsidRPr="00DD2F42" w:rsidRDefault="00DD2F42" w:rsidP="00DD2F42">
      <w:pPr>
        <w:pStyle w:val="Default"/>
        <w:jc w:val="center"/>
        <w:rPr>
          <w:rFonts w:ascii="Tekton Pro" w:hAnsi="Tekton Pro" w:cs="Times New Roman"/>
          <w:color w:val="008080"/>
          <w:sz w:val="40"/>
          <w:szCs w:val="40"/>
          <w:u w:val="single"/>
        </w:rPr>
      </w:pPr>
      <w:r w:rsidRPr="00DD2F42">
        <w:rPr>
          <w:rFonts w:ascii="DejaVuSerif-Bold" w:hAnsi="DejaVuSerif-Bold" w:cs="DejaVuSerif-Bold"/>
          <w:color w:val="203F77"/>
          <w:sz w:val="40"/>
          <w:szCs w:val="40"/>
        </w:rPr>
        <w:t>Domenica 21 aprile ore 16,00</w:t>
      </w:r>
    </w:p>
    <w:p w14:paraId="3DEBCA86" w14:textId="5D6C5ED6" w:rsidR="00DD2F42" w:rsidRDefault="00DD2F42">
      <w:r w:rsidRPr="00DD2F42">
        <w:rPr>
          <w:noProof/>
        </w:rPr>
        <w:drawing>
          <wp:anchor distT="0" distB="0" distL="114300" distR="114300" simplePos="0" relativeHeight="251658240" behindDoc="0" locked="0" layoutInCell="1" allowOverlap="1" wp14:anchorId="2B308673" wp14:editId="7306A463">
            <wp:simplePos x="0" y="0"/>
            <wp:positionH relativeFrom="column">
              <wp:posOffset>3813810</wp:posOffset>
            </wp:positionH>
            <wp:positionV relativeFrom="paragraph">
              <wp:posOffset>1725295</wp:posOffset>
            </wp:positionV>
            <wp:extent cx="1036800" cy="1000800"/>
            <wp:effectExtent l="0" t="0" r="0" b="8890"/>
            <wp:wrapNone/>
            <wp:docPr id="118456835" name="Immagine 1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56835" name="Immagine 1" descr="Immagine che contiene nero, oscurità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F42">
        <w:rPr>
          <w:noProof/>
        </w:rPr>
        <w:drawing>
          <wp:inline distT="0" distB="0" distL="0" distR="0" wp14:anchorId="6FB80602" wp14:editId="292B19B5">
            <wp:extent cx="6120130" cy="3189605"/>
            <wp:effectExtent l="0" t="0" r="0" b="0"/>
            <wp:docPr id="1173849483" name="Immagine 1" descr="Immagine che contiene testo, schermata, grafic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849483" name="Immagine 1" descr="Immagine che contiene testo, schermata, grafica, Carattere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260B" w14:textId="769EE4FF" w:rsidR="00DD2F42" w:rsidRPr="00DD2F42" w:rsidRDefault="00DD2F42" w:rsidP="00DD2F42">
      <w:pPr>
        <w:spacing w:after="0"/>
        <w:jc w:val="center"/>
        <w:rPr>
          <w:rFonts w:ascii="Verdana" w:hAnsi="Verdana"/>
          <w:b/>
          <w:bCs/>
          <w:color w:val="000080"/>
        </w:rPr>
      </w:pPr>
      <w:r w:rsidRPr="00DD2F42">
        <w:rPr>
          <w:rFonts w:ascii="Verdana" w:hAnsi="Verdana"/>
          <w:b/>
          <w:bCs/>
          <w:color w:val="000080"/>
        </w:rPr>
        <w:t>Le due strutture sotterranee, realizzate durante la Seconda guerra mondiale, riaprono al pubblico con un nuovo allestimento multimediale che consente una visita immersiva ed esperienziale…</w:t>
      </w:r>
    </w:p>
    <w:p w14:paraId="1473CBB0" w14:textId="4992F297" w:rsidR="00DD2F42" w:rsidRPr="00DD2F42" w:rsidRDefault="00DD2F42" w:rsidP="00DD2F42">
      <w:pPr>
        <w:pStyle w:val="NormaleWeb"/>
        <w:spacing w:before="0" w:beforeAutospacing="0" w:after="0" w:afterAutospacing="0"/>
        <w:rPr>
          <w:rFonts w:ascii="Verdana" w:eastAsiaTheme="minorHAnsi" w:hAnsi="Verdana" w:cstheme="minorBidi"/>
          <w:color w:val="000080"/>
          <w:kern w:val="2"/>
          <w:sz w:val="22"/>
          <w:szCs w:val="22"/>
          <w:lang w:eastAsia="en-US"/>
          <w14:ligatures w14:val="standardContextual"/>
        </w:rPr>
      </w:pPr>
      <w:r w:rsidRPr="00DD2F42">
        <w:rPr>
          <w:rFonts w:ascii="Verdana" w:eastAsiaTheme="minorHAnsi" w:hAnsi="Verdana" w:cstheme="minorBidi"/>
          <w:color w:val="000080"/>
          <w:kern w:val="2"/>
          <w:sz w:val="22"/>
          <w:szCs w:val="22"/>
          <w:lang w:eastAsia="en-US"/>
          <w14:ligatures w14:val="standardContextual"/>
        </w:rPr>
        <w:t xml:space="preserve">Torna nuovamente fruibile da romani e turisti un pezzo di storia di Roma, che rievoca, a oltre ottanta anni di distanza, una delle pagine più buie e drammatiche della città, colpita da 51 bombardamenti aerei tra luglio 1943 e maggio 1944. </w:t>
      </w:r>
    </w:p>
    <w:p w14:paraId="3959D171" w14:textId="77777777" w:rsidR="00DD2F42" w:rsidRDefault="00DD2F42" w:rsidP="00DD2F42">
      <w:pPr>
        <w:pStyle w:val="NormaleWeb"/>
        <w:spacing w:before="0" w:beforeAutospacing="0" w:after="0" w:afterAutospacing="0"/>
        <w:rPr>
          <w:rFonts w:ascii="Verdana" w:eastAsiaTheme="minorHAnsi" w:hAnsi="Verdana" w:cstheme="minorBidi"/>
          <w:b/>
          <w:bCs/>
          <w:color w:val="000080"/>
          <w:kern w:val="2"/>
          <w:sz w:val="22"/>
          <w:szCs w:val="22"/>
          <w:lang w:eastAsia="en-US"/>
          <w14:ligatures w14:val="standardContextual"/>
        </w:rPr>
      </w:pPr>
      <w:r w:rsidRPr="00DD2F42">
        <w:rPr>
          <w:rFonts w:ascii="Verdana" w:eastAsiaTheme="minorHAnsi" w:hAnsi="Verdana" w:cstheme="minorBidi"/>
          <w:color w:val="000080"/>
          <w:kern w:val="2"/>
          <w:sz w:val="22"/>
          <w:szCs w:val="22"/>
          <w:lang w:eastAsia="en-US"/>
          <w14:ligatures w14:val="standardContextual"/>
        </w:rPr>
        <w:t xml:space="preserve">La memoria storica del Bunker è stata ricostruita attraverso un allestimento fotografico e audio-visivo privilegiando il racconto e la rievocazione del passato attraverso suoni e immagini. Il nuovo allestimento multimediale, basato su uno studio accurato della documentazione storica e fotografica, oltre a mettere in risalto le caratteristiche architettoniche originarie del complesso, è stato concepito per rispondere a una doppia esigenza: da un lato dare </w:t>
      </w:r>
      <w:r w:rsidRPr="00DD2F42">
        <w:rPr>
          <w:rFonts w:ascii="Verdana" w:eastAsiaTheme="minorHAnsi" w:hAnsi="Verdana" w:cstheme="minorBidi"/>
          <w:b/>
          <w:bCs/>
          <w:color w:val="000080"/>
          <w:kern w:val="2"/>
          <w:sz w:val="22"/>
          <w:szCs w:val="22"/>
          <w:lang w:eastAsia="en-US"/>
          <w14:ligatures w14:val="standardContextual"/>
        </w:rPr>
        <w:t>informazioni storico-documentaristiche</w:t>
      </w:r>
      <w:r w:rsidRPr="00DD2F42">
        <w:rPr>
          <w:rFonts w:ascii="Verdana" w:eastAsiaTheme="minorHAnsi" w:hAnsi="Verdana" w:cstheme="minorBidi"/>
          <w:color w:val="000080"/>
          <w:kern w:val="2"/>
          <w:sz w:val="22"/>
          <w:szCs w:val="22"/>
          <w:lang w:eastAsia="en-US"/>
          <w14:ligatures w14:val="standardContextual"/>
        </w:rPr>
        <w:t xml:space="preserve"> su Roma durante la seconda guerra mondiale e sulla scelta di Mussolini di fare di Villa Torlonia la sua residenza in città, dall’altra </w:t>
      </w:r>
      <w:r w:rsidRPr="00DD2F42">
        <w:rPr>
          <w:rFonts w:ascii="Verdana" w:eastAsiaTheme="minorHAnsi" w:hAnsi="Verdana" w:cstheme="minorBidi"/>
          <w:b/>
          <w:bCs/>
          <w:color w:val="000080"/>
          <w:kern w:val="2"/>
          <w:sz w:val="22"/>
          <w:szCs w:val="22"/>
          <w:lang w:eastAsia="en-US"/>
          <w14:ligatures w14:val="standardContextual"/>
        </w:rPr>
        <w:t>offrire ai visitatori un percorso immersivo che li porterà a percepire l’esperienza di un attacco aereo all’interno di un rifugio sotterraneo.</w:t>
      </w:r>
    </w:p>
    <w:p w14:paraId="58F37A01" w14:textId="14FC80DF" w:rsidR="00B250AF" w:rsidRPr="00B250AF" w:rsidRDefault="00B250AF" w:rsidP="00DD2F42">
      <w:pPr>
        <w:pStyle w:val="NormaleWeb"/>
        <w:spacing w:before="0" w:beforeAutospacing="0" w:after="0" w:afterAutospacing="0"/>
        <w:rPr>
          <w:rFonts w:ascii="Verdana" w:eastAsiaTheme="minorHAnsi" w:hAnsi="Verdana" w:cstheme="minorBidi"/>
          <w:color w:val="000080"/>
          <w:kern w:val="2"/>
          <w:sz w:val="22"/>
          <w:szCs w:val="22"/>
          <w:lang w:eastAsia="en-US"/>
          <w14:ligatures w14:val="standardContextual"/>
        </w:rPr>
      </w:pPr>
      <w:r w:rsidRPr="00B250AF">
        <w:rPr>
          <w:rFonts w:ascii="Verdana" w:eastAsiaTheme="minorHAnsi" w:hAnsi="Verdana" w:cstheme="minorBidi"/>
          <w:color w:val="000080"/>
          <w:kern w:val="2"/>
          <w:sz w:val="22"/>
          <w:szCs w:val="22"/>
          <w:lang w:eastAsia="en-US"/>
          <w14:ligatures w14:val="standardContextual"/>
        </w:rPr>
        <w:t>Durata visita: 1h.</w:t>
      </w:r>
      <w:r w:rsidR="00B8642E">
        <w:rPr>
          <w:rFonts w:ascii="Verdana" w:eastAsiaTheme="minorHAnsi" w:hAnsi="Verdana" w:cstheme="minorBidi"/>
          <w:color w:val="000080"/>
          <w:kern w:val="2"/>
          <w:sz w:val="22"/>
          <w:szCs w:val="22"/>
          <w:lang w:eastAsia="en-US"/>
          <w14:ligatures w14:val="standardContextual"/>
        </w:rPr>
        <w:tab/>
      </w:r>
      <w:r w:rsidR="00B8642E">
        <w:rPr>
          <w:rFonts w:ascii="Verdana" w:eastAsiaTheme="minorHAnsi" w:hAnsi="Verdana" w:cstheme="minorBidi"/>
          <w:color w:val="000080"/>
          <w:kern w:val="2"/>
          <w:sz w:val="22"/>
          <w:szCs w:val="22"/>
          <w:lang w:eastAsia="en-US"/>
          <w14:ligatures w14:val="standardContextual"/>
        </w:rPr>
        <w:tab/>
      </w:r>
      <w:r w:rsidR="00B8642E">
        <w:rPr>
          <w:rFonts w:ascii="Verdana" w:eastAsiaTheme="minorHAnsi" w:hAnsi="Verdana" w:cstheme="minorBidi"/>
          <w:color w:val="000080"/>
          <w:kern w:val="2"/>
          <w:sz w:val="22"/>
          <w:szCs w:val="22"/>
          <w:lang w:eastAsia="en-US"/>
          <w14:ligatures w14:val="standardContextual"/>
        </w:rPr>
        <w:tab/>
      </w:r>
      <w:r w:rsidR="00B8642E">
        <w:rPr>
          <w:rFonts w:ascii="Verdana" w:eastAsiaTheme="minorHAnsi" w:hAnsi="Verdana" w:cstheme="minorBidi"/>
          <w:color w:val="000080"/>
          <w:kern w:val="2"/>
          <w:sz w:val="22"/>
          <w:szCs w:val="22"/>
          <w:lang w:eastAsia="en-US"/>
          <w14:ligatures w14:val="standardContextual"/>
        </w:rPr>
        <w:tab/>
      </w:r>
      <w:r w:rsidR="00B8642E">
        <w:rPr>
          <w:rFonts w:ascii="Verdana" w:eastAsiaTheme="minorHAnsi" w:hAnsi="Verdana" w:cstheme="minorBidi"/>
          <w:color w:val="000080"/>
          <w:kern w:val="2"/>
          <w:sz w:val="22"/>
          <w:szCs w:val="22"/>
          <w:lang w:eastAsia="en-US"/>
          <w14:ligatures w14:val="standardContextual"/>
        </w:rPr>
        <w:tab/>
      </w:r>
      <w:r w:rsidR="00B8642E">
        <w:rPr>
          <w:rFonts w:ascii="Verdana" w:eastAsiaTheme="minorHAnsi" w:hAnsi="Verdana" w:cstheme="minorBidi"/>
          <w:color w:val="000080"/>
          <w:kern w:val="2"/>
          <w:sz w:val="22"/>
          <w:szCs w:val="22"/>
          <w:lang w:eastAsia="en-US"/>
          <w14:ligatures w14:val="standardContextual"/>
        </w:rPr>
        <w:tab/>
        <w:t>N° massimo partecipanti: 20.</w:t>
      </w:r>
    </w:p>
    <w:p w14:paraId="5B2252F8" w14:textId="1EE761D7" w:rsidR="00DD2F42" w:rsidRDefault="00DD2F42" w:rsidP="00DD2F42">
      <w:pPr>
        <w:spacing w:after="0"/>
        <w:jc w:val="both"/>
        <w:rPr>
          <w:rFonts w:ascii="Albertus Medium" w:hAnsi="Albertus Medium"/>
          <w:b/>
          <w:color w:val="000080"/>
          <w:sz w:val="20"/>
          <w:szCs w:val="20"/>
        </w:rPr>
      </w:pPr>
      <w:r w:rsidRPr="0080069E">
        <w:rPr>
          <w:rFonts w:ascii="Albertus Medium" w:hAnsi="Albertus Medium"/>
          <w:bCs/>
          <w:color w:val="000080"/>
          <w:sz w:val="28"/>
          <w:szCs w:val="28"/>
        </w:rPr>
        <w:t>- Quota adulti:</w:t>
      </w:r>
      <w:r w:rsidRPr="00585B12">
        <w:rPr>
          <w:rFonts w:ascii="Albertus Medium" w:hAnsi="Albertus Medium"/>
          <w:b/>
          <w:color w:val="000080"/>
          <w:sz w:val="28"/>
          <w:szCs w:val="28"/>
        </w:rPr>
        <w:t xml:space="preserve"> € </w:t>
      </w:r>
      <w:r>
        <w:rPr>
          <w:rFonts w:ascii="Albertus Medium" w:hAnsi="Albertus Medium"/>
          <w:b/>
          <w:color w:val="000080"/>
          <w:sz w:val="28"/>
          <w:szCs w:val="28"/>
        </w:rPr>
        <w:t>12</w:t>
      </w:r>
      <w:r w:rsidRPr="00585B12">
        <w:rPr>
          <w:rFonts w:ascii="Albertus Medium" w:hAnsi="Albertus Medium"/>
          <w:b/>
          <w:color w:val="000080"/>
          <w:sz w:val="28"/>
          <w:szCs w:val="28"/>
        </w:rPr>
        <w:t>,00</w:t>
      </w:r>
      <w:r>
        <w:rPr>
          <w:rFonts w:ascii="Albertus Medium" w:hAnsi="Albertus Medium"/>
          <w:b/>
          <w:color w:val="000080"/>
          <w:sz w:val="28"/>
          <w:szCs w:val="28"/>
        </w:rPr>
        <w:t xml:space="preserve"> </w:t>
      </w:r>
      <w:r w:rsidR="00B250AF">
        <w:rPr>
          <w:rFonts w:ascii="Albertus Medium" w:hAnsi="Albertus Medium"/>
          <w:b/>
          <w:color w:val="000080"/>
          <w:sz w:val="28"/>
          <w:szCs w:val="28"/>
        </w:rPr>
        <w:tab/>
        <w:t xml:space="preserve">- </w:t>
      </w:r>
      <w:r w:rsidRPr="0080069E">
        <w:rPr>
          <w:rFonts w:ascii="Albertus Medium" w:hAnsi="Albertus Medium"/>
          <w:bCs/>
          <w:color w:val="000080"/>
          <w:sz w:val="28"/>
          <w:szCs w:val="28"/>
        </w:rPr>
        <w:t>Quota under 18 e possessori MIC Card:</w:t>
      </w:r>
      <w:r w:rsidRPr="00585B12">
        <w:rPr>
          <w:rFonts w:ascii="Albertus Medium" w:hAnsi="Albertus Medium"/>
          <w:b/>
          <w:color w:val="000080"/>
          <w:sz w:val="28"/>
          <w:szCs w:val="28"/>
        </w:rPr>
        <w:t xml:space="preserve"> € </w:t>
      </w:r>
      <w:r>
        <w:rPr>
          <w:rFonts w:ascii="Albertus Medium" w:hAnsi="Albertus Medium"/>
          <w:b/>
          <w:color w:val="000080"/>
          <w:sz w:val="28"/>
          <w:szCs w:val="28"/>
        </w:rPr>
        <w:t>6</w:t>
      </w:r>
      <w:r w:rsidRPr="00585B12">
        <w:rPr>
          <w:rFonts w:ascii="Albertus Medium" w:hAnsi="Albertus Medium"/>
          <w:b/>
          <w:color w:val="000080"/>
          <w:sz w:val="28"/>
          <w:szCs w:val="28"/>
        </w:rPr>
        <w:t>,00</w:t>
      </w:r>
      <w:r>
        <w:rPr>
          <w:rFonts w:ascii="Albertus Medium" w:hAnsi="Albertus Medium"/>
          <w:b/>
          <w:color w:val="000080"/>
          <w:sz w:val="28"/>
          <w:szCs w:val="28"/>
        </w:rPr>
        <w:t xml:space="preserve"> </w:t>
      </w:r>
    </w:p>
    <w:p w14:paraId="76597918" w14:textId="1F69E95E" w:rsidR="00DD2F42" w:rsidRPr="00DD2F42" w:rsidRDefault="00DD2F42" w:rsidP="00DD2F42">
      <w:pPr>
        <w:spacing w:after="0"/>
        <w:jc w:val="center"/>
        <w:rPr>
          <w:rFonts w:ascii="Albertus Medium" w:hAnsi="Albertus Medium"/>
          <w:b/>
          <w:color w:val="FF0000"/>
          <w:sz w:val="28"/>
          <w:szCs w:val="28"/>
        </w:rPr>
      </w:pPr>
      <w:r w:rsidRPr="00DD2F42">
        <w:rPr>
          <w:rFonts w:ascii="Albertus Medium" w:hAnsi="Albertus Medium"/>
          <w:b/>
          <w:color w:val="FF0000"/>
          <w:sz w:val="28"/>
          <w:szCs w:val="28"/>
        </w:rPr>
        <w:t>IL COSTO DELLA VISITA GUIDATA È A CARICO DI AIDA.</w:t>
      </w:r>
    </w:p>
    <w:p w14:paraId="2474157D" w14:textId="77777777" w:rsidR="00DD2F42" w:rsidRDefault="00DD2F42" w:rsidP="00DD2F42">
      <w:pPr>
        <w:spacing w:after="0"/>
        <w:jc w:val="both"/>
        <w:rPr>
          <w:rFonts w:ascii="Albertus Medium" w:hAnsi="Albertus Medium"/>
          <w:color w:val="000080"/>
        </w:rPr>
      </w:pPr>
      <w:r w:rsidRPr="003C66FC">
        <w:rPr>
          <w:rFonts w:ascii="Albertus Medium" w:hAnsi="Albertus Medium"/>
          <w:color w:val="000080"/>
        </w:rPr>
        <w:t xml:space="preserve">La prenotazione, </w:t>
      </w:r>
      <w:r w:rsidRPr="00E94D7B">
        <w:rPr>
          <w:rFonts w:ascii="Albertus Medium" w:hAnsi="Albertus Medium"/>
          <w:b/>
          <w:color w:val="000080"/>
          <w:u w:val="single"/>
        </w:rPr>
        <w:t>IMMEDIATA e OBBLIGATORIA</w:t>
      </w:r>
      <w:r w:rsidRPr="003C66FC">
        <w:rPr>
          <w:rFonts w:ascii="Albertus Medium" w:hAnsi="Albertus Medium"/>
          <w:color w:val="000080"/>
        </w:rPr>
        <w:t>, potrà essere effettuata presso:</w:t>
      </w:r>
    </w:p>
    <w:p w14:paraId="225A716F" w14:textId="1EB9A807" w:rsidR="00DD2F42" w:rsidRDefault="00DD2F42" w:rsidP="00DD2F42">
      <w:pPr>
        <w:spacing w:after="0"/>
      </w:pPr>
      <w:r w:rsidRPr="00F8251F">
        <w:rPr>
          <w:rFonts w:ascii="Albertus Medium" w:hAnsi="Albertus Medium"/>
          <w:b/>
          <w:color w:val="3366FF"/>
          <w:sz w:val="28"/>
          <w:szCs w:val="28"/>
        </w:rPr>
        <w:t>Martino Nicoletti</w:t>
      </w:r>
      <w:r>
        <w:rPr>
          <w:rFonts w:ascii="Albertus Medium" w:hAnsi="Albertus Medium"/>
          <w:b/>
          <w:color w:val="3366FF"/>
          <w:sz w:val="28"/>
          <w:szCs w:val="28"/>
        </w:rPr>
        <w:t xml:space="preserve">   </w:t>
      </w:r>
      <w:r>
        <w:rPr>
          <w:rFonts w:ascii="Albertus Medium" w:hAnsi="Albertus Medium"/>
          <w:color w:val="000080"/>
          <w:sz w:val="28"/>
          <w:szCs w:val="28"/>
        </w:rPr>
        <w:t>- m.nicoletti@almaviva.it</w:t>
      </w:r>
    </w:p>
    <w:sectPr w:rsidR="00DD2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DejaVu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0"/>
    <w:rsid w:val="00296100"/>
    <w:rsid w:val="0080069E"/>
    <w:rsid w:val="00B250AF"/>
    <w:rsid w:val="00B40534"/>
    <w:rsid w:val="00B8642E"/>
    <w:rsid w:val="00CC4C19"/>
    <w:rsid w:val="00DD2F42"/>
    <w:rsid w:val="00D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7CAE"/>
  <w15:chartTrackingRefBased/>
  <w15:docId w15:val="{A42EAD2D-0A38-4908-8BF1-72BF0557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2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  <w:style w:type="character" w:customStyle="1" w:styleId="breadcrumblast">
    <w:name w:val="breadcrumb_last"/>
    <w:basedOn w:val="Carpredefinitoparagrafo"/>
    <w:rsid w:val="00DD2F42"/>
  </w:style>
  <w:style w:type="paragraph" w:styleId="NormaleWeb">
    <w:name w:val="Normal (Web)"/>
    <w:basedOn w:val="Normale"/>
    <w:uiPriority w:val="99"/>
    <w:semiHidden/>
    <w:unhideWhenUsed/>
    <w:rsid w:val="00DD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DD2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5</cp:revision>
  <dcterms:created xsi:type="dcterms:W3CDTF">2024-04-05T08:13:00Z</dcterms:created>
  <dcterms:modified xsi:type="dcterms:W3CDTF">2024-04-09T07:15:00Z</dcterms:modified>
</cp:coreProperties>
</file>