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685F8" w14:textId="7B97E2E4" w:rsidR="00CC4C19" w:rsidRDefault="00C854E2" w:rsidP="00C854E2">
      <w:pPr>
        <w:spacing w:after="0"/>
      </w:pPr>
      <w:r>
        <w:rPr>
          <w:noProof/>
        </w:rPr>
        <w:drawing>
          <wp:inline distT="0" distB="0" distL="0" distR="0" wp14:anchorId="2AA76DFE" wp14:editId="0CE839A6">
            <wp:extent cx="636928" cy="676275"/>
            <wp:effectExtent l="0" t="0" r="0" b="0"/>
            <wp:docPr id="424711073" name="Immagine 1" descr="Immagine che contiene Elementi grafici, grafica, Carattere, clipart&#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711073" name="Immagine 1" descr="Immagine che contiene Elementi grafici, grafica, Carattere, clipart&#10;&#10;Descrizione generata automaticament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0141" cy="679687"/>
                    </a:xfrm>
                    <a:prstGeom prst="rect">
                      <a:avLst/>
                    </a:prstGeom>
                  </pic:spPr>
                </pic:pic>
              </a:graphicData>
            </a:graphic>
          </wp:inline>
        </w:drawing>
      </w:r>
    </w:p>
    <w:p w14:paraId="03AE6104" w14:textId="1C600BD4" w:rsidR="00033EF8" w:rsidRPr="001F07B2" w:rsidRDefault="00033EF8" w:rsidP="00A65444">
      <w:pPr>
        <w:spacing w:after="0"/>
        <w:jc w:val="center"/>
        <w:rPr>
          <w:rFonts w:ascii="Arial" w:eastAsia="Times New Roman" w:hAnsi="Arial" w:cs="Arial"/>
          <w:b/>
          <w:bCs/>
          <w:i/>
          <w:iCs/>
          <w:color w:val="FF0000"/>
          <w:kern w:val="0"/>
          <w:sz w:val="32"/>
          <w:szCs w:val="32"/>
          <w:lang w:eastAsia="it-IT"/>
          <w14:ligatures w14:val="none"/>
        </w:rPr>
      </w:pPr>
      <w:r w:rsidRPr="001F07B2">
        <w:rPr>
          <w:rFonts w:ascii="Arial" w:eastAsia="Times New Roman" w:hAnsi="Arial" w:cs="Arial"/>
          <w:b/>
          <w:bCs/>
          <w:i/>
          <w:iCs/>
          <w:color w:val="FF0000"/>
          <w:kern w:val="0"/>
          <w:sz w:val="32"/>
          <w:szCs w:val="32"/>
          <w:lang w:eastAsia="it-IT"/>
          <w14:ligatures w14:val="none"/>
        </w:rPr>
        <w:t>Visita guidata a</w:t>
      </w:r>
      <w:r w:rsidR="001F07B2" w:rsidRPr="001F07B2">
        <w:rPr>
          <w:rFonts w:ascii="Arial" w:eastAsia="Times New Roman" w:hAnsi="Arial" w:cs="Arial"/>
          <w:b/>
          <w:bCs/>
          <w:i/>
          <w:iCs/>
          <w:color w:val="FF0000"/>
          <w:kern w:val="0"/>
          <w:sz w:val="32"/>
          <w:szCs w:val="32"/>
          <w:lang w:eastAsia="it-IT"/>
          <w14:ligatures w14:val="none"/>
        </w:rPr>
        <w:t>lla mostra con la dott.ssa Roberta Perazzone</w:t>
      </w:r>
    </w:p>
    <w:p w14:paraId="3BACCC6C" w14:textId="079BD02F" w:rsidR="001F07B2" w:rsidRDefault="001F07B2" w:rsidP="001F07B2">
      <w:pPr>
        <w:spacing w:after="0"/>
        <w:jc w:val="center"/>
        <w:rPr>
          <w:rFonts w:ascii="Arial" w:eastAsia="Times New Roman" w:hAnsi="Arial" w:cs="Arial"/>
          <w:b/>
          <w:bCs/>
          <w:i/>
          <w:iCs/>
          <w:color w:val="FF0000"/>
          <w:kern w:val="0"/>
          <w:sz w:val="56"/>
          <w:szCs w:val="56"/>
          <w:lang w:eastAsia="it-IT"/>
          <w14:ligatures w14:val="none"/>
        </w:rPr>
      </w:pPr>
      <w:r w:rsidRPr="001F07B2">
        <w:rPr>
          <w:rFonts w:ascii="Arial" w:eastAsia="Times New Roman" w:hAnsi="Arial" w:cs="Arial"/>
          <w:b/>
          <w:bCs/>
          <w:i/>
          <w:iCs/>
          <w:color w:val="FF0000"/>
          <w:kern w:val="0"/>
          <w:sz w:val="56"/>
          <w:szCs w:val="56"/>
          <w:lang w:eastAsia="it-IT"/>
          <w14:ligatures w14:val="none"/>
        </w:rPr>
        <w:t>“Impressionismo e oltre”</w:t>
      </w:r>
    </w:p>
    <w:p w14:paraId="0E4A2C0C" w14:textId="063DD977" w:rsidR="001F07B2" w:rsidRPr="001F07B2" w:rsidRDefault="001F07B2" w:rsidP="001F07B2">
      <w:pPr>
        <w:spacing w:after="0"/>
        <w:jc w:val="center"/>
        <w:rPr>
          <w:rFonts w:ascii="Arial" w:eastAsia="Times New Roman" w:hAnsi="Arial" w:cs="Arial"/>
          <w:i/>
          <w:iCs/>
          <w:color w:val="FF0000"/>
          <w:kern w:val="0"/>
          <w:sz w:val="36"/>
          <w:szCs w:val="36"/>
          <w:lang w:eastAsia="it-IT"/>
          <w14:ligatures w14:val="none"/>
        </w:rPr>
      </w:pPr>
      <w:r w:rsidRPr="001F07B2">
        <w:rPr>
          <w:rFonts w:ascii="Arial" w:eastAsia="Times New Roman" w:hAnsi="Arial" w:cs="Arial"/>
          <w:i/>
          <w:iCs/>
          <w:color w:val="FF0000"/>
          <w:kern w:val="0"/>
          <w:sz w:val="36"/>
          <w:szCs w:val="36"/>
          <w:lang w:eastAsia="it-IT"/>
          <w14:ligatures w14:val="none"/>
        </w:rPr>
        <w:t>Capolavori dal Detroit Institute of Arts</w:t>
      </w:r>
    </w:p>
    <w:p w14:paraId="69AEB74D" w14:textId="7159AFCC" w:rsidR="00033EF8" w:rsidRDefault="001F07B2" w:rsidP="00A65444">
      <w:pPr>
        <w:spacing w:after="0"/>
        <w:jc w:val="center"/>
        <w:rPr>
          <w:rFonts w:ascii="Arial" w:eastAsia="Times New Roman" w:hAnsi="Arial" w:cs="Arial"/>
          <w:b/>
          <w:bCs/>
          <w:i/>
          <w:iCs/>
          <w:color w:val="FF0000"/>
          <w:kern w:val="0"/>
          <w:sz w:val="40"/>
          <w:szCs w:val="40"/>
          <w:lang w:eastAsia="it-IT"/>
          <w14:ligatures w14:val="none"/>
        </w:rPr>
      </w:pPr>
      <w:r>
        <w:rPr>
          <w:noProof/>
        </w:rPr>
        <w:drawing>
          <wp:inline distT="0" distB="0" distL="0" distR="0" wp14:anchorId="3D8D25F0" wp14:editId="3A7968CE">
            <wp:extent cx="5585737" cy="2897188"/>
            <wp:effectExtent l="0" t="0" r="0" b="0"/>
            <wp:docPr id="477883256" name="Immagine 1" descr="Pierre-Auguste Renoir, Donna in poltrona, 1874, olio su tela. Detroit Institute of Arts, Lascito di Mrs. Allan Shelden III, 19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erre-Auguste Renoir, Donna in poltrona, 1874, olio su tela. Detroit Institute of Arts, Lascito di Mrs. Allan Shelden III, 1985.2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98359" cy="2903735"/>
                    </a:xfrm>
                    <a:prstGeom prst="rect">
                      <a:avLst/>
                    </a:prstGeom>
                    <a:noFill/>
                    <a:ln>
                      <a:noFill/>
                    </a:ln>
                  </pic:spPr>
                </pic:pic>
              </a:graphicData>
            </a:graphic>
          </wp:inline>
        </w:drawing>
      </w:r>
    </w:p>
    <w:p w14:paraId="2F23606C" w14:textId="77777777" w:rsidR="00ED4179" w:rsidRPr="00ED4179" w:rsidRDefault="001F07B2" w:rsidP="00033EF8">
      <w:pPr>
        <w:spacing w:after="0"/>
        <w:jc w:val="center"/>
        <w:rPr>
          <w:rFonts w:ascii="Arial" w:eastAsia="Times New Roman" w:hAnsi="Arial" w:cs="Arial"/>
          <w:b/>
          <w:bCs/>
          <w:i/>
          <w:iCs/>
          <w:color w:val="FF0000"/>
          <w:kern w:val="0"/>
          <w:sz w:val="32"/>
          <w:szCs w:val="32"/>
          <w:lang w:eastAsia="it-IT"/>
          <w14:ligatures w14:val="none"/>
        </w:rPr>
      </w:pPr>
      <w:r w:rsidRPr="00ED4179">
        <w:rPr>
          <w:rFonts w:ascii="Arial" w:eastAsia="Times New Roman" w:hAnsi="Arial" w:cs="Arial"/>
          <w:b/>
          <w:bCs/>
          <w:i/>
          <w:iCs/>
          <w:color w:val="FF0000"/>
          <w:kern w:val="0"/>
          <w:sz w:val="32"/>
          <w:szCs w:val="32"/>
          <w:lang w:eastAsia="it-IT"/>
          <w14:ligatures w14:val="none"/>
        </w:rPr>
        <w:t>Sabato</w:t>
      </w:r>
      <w:r w:rsidR="00A65444" w:rsidRPr="00ED4179">
        <w:rPr>
          <w:rFonts w:ascii="Arial" w:eastAsia="Times New Roman" w:hAnsi="Arial" w:cs="Arial"/>
          <w:b/>
          <w:bCs/>
          <w:i/>
          <w:iCs/>
          <w:color w:val="FF0000"/>
          <w:kern w:val="0"/>
          <w:sz w:val="32"/>
          <w:szCs w:val="32"/>
          <w:lang w:eastAsia="it-IT"/>
          <w14:ligatures w14:val="none"/>
        </w:rPr>
        <w:t xml:space="preserve"> </w:t>
      </w:r>
      <w:r w:rsidRPr="00ED4179">
        <w:rPr>
          <w:rFonts w:ascii="Arial" w:eastAsia="Times New Roman" w:hAnsi="Arial" w:cs="Arial"/>
          <w:b/>
          <w:bCs/>
          <w:i/>
          <w:iCs/>
          <w:color w:val="FF0000"/>
          <w:kern w:val="0"/>
          <w:sz w:val="32"/>
          <w:szCs w:val="32"/>
          <w:lang w:eastAsia="it-IT"/>
          <w14:ligatures w14:val="none"/>
        </w:rPr>
        <w:t>7</w:t>
      </w:r>
      <w:r w:rsidR="00033EF8" w:rsidRPr="00ED4179">
        <w:rPr>
          <w:rFonts w:ascii="Arial" w:eastAsia="Times New Roman" w:hAnsi="Arial" w:cs="Arial"/>
          <w:b/>
          <w:bCs/>
          <w:i/>
          <w:iCs/>
          <w:color w:val="FF0000"/>
          <w:kern w:val="0"/>
          <w:sz w:val="32"/>
          <w:szCs w:val="32"/>
          <w:lang w:eastAsia="it-IT"/>
          <w14:ligatures w14:val="none"/>
        </w:rPr>
        <w:t xml:space="preserve"> febbraio</w:t>
      </w:r>
      <w:r w:rsidR="00A65444" w:rsidRPr="00ED4179">
        <w:rPr>
          <w:rFonts w:ascii="Arial" w:eastAsia="Times New Roman" w:hAnsi="Arial" w:cs="Arial"/>
          <w:b/>
          <w:bCs/>
          <w:i/>
          <w:iCs/>
          <w:color w:val="FF0000"/>
          <w:kern w:val="0"/>
          <w:sz w:val="32"/>
          <w:szCs w:val="32"/>
          <w:lang w:eastAsia="it-IT"/>
          <w14:ligatures w14:val="none"/>
        </w:rPr>
        <w:t xml:space="preserve"> ore 1</w:t>
      </w:r>
      <w:r w:rsidRPr="00ED4179">
        <w:rPr>
          <w:rFonts w:ascii="Arial" w:eastAsia="Times New Roman" w:hAnsi="Arial" w:cs="Arial"/>
          <w:b/>
          <w:bCs/>
          <w:i/>
          <w:iCs/>
          <w:color w:val="FF0000"/>
          <w:kern w:val="0"/>
          <w:sz w:val="32"/>
          <w:szCs w:val="32"/>
          <w:lang w:eastAsia="it-IT"/>
          <w14:ligatures w14:val="none"/>
        </w:rPr>
        <w:t>2</w:t>
      </w:r>
      <w:r w:rsidR="00A65444" w:rsidRPr="00ED4179">
        <w:rPr>
          <w:rFonts w:ascii="Arial" w:eastAsia="Times New Roman" w:hAnsi="Arial" w:cs="Arial"/>
          <w:b/>
          <w:bCs/>
          <w:i/>
          <w:iCs/>
          <w:color w:val="FF0000"/>
          <w:kern w:val="0"/>
          <w:sz w:val="32"/>
          <w:szCs w:val="32"/>
          <w:lang w:eastAsia="it-IT"/>
          <w14:ligatures w14:val="none"/>
        </w:rPr>
        <w:t>,</w:t>
      </w:r>
      <w:r w:rsidRPr="00ED4179">
        <w:rPr>
          <w:rFonts w:ascii="Arial" w:eastAsia="Times New Roman" w:hAnsi="Arial" w:cs="Arial"/>
          <w:b/>
          <w:bCs/>
          <w:i/>
          <w:iCs/>
          <w:color w:val="FF0000"/>
          <w:kern w:val="0"/>
          <w:sz w:val="32"/>
          <w:szCs w:val="32"/>
          <w:lang w:eastAsia="it-IT"/>
          <w14:ligatures w14:val="none"/>
        </w:rPr>
        <w:t>1</w:t>
      </w:r>
      <w:r w:rsidR="00A65444" w:rsidRPr="00ED4179">
        <w:rPr>
          <w:rFonts w:ascii="Arial" w:eastAsia="Times New Roman" w:hAnsi="Arial" w:cs="Arial"/>
          <w:b/>
          <w:bCs/>
          <w:i/>
          <w:iCs/>
          <w:color w:val="FF0000"/>
          <w:kern w:val="0"/>
          <w:sz w:val="32"/>
          <w:szCs w:val="32"/>
          <w:lang w:eastAsia="it-IT"/>
          <w14:ligatures w14:val="none"/>
        </w:rPr>
        <w:t>0</w:t>
      </w:r>
      <w:r w:rsidRPr="00ED4179">
        <w:rPr>
          <w:rFonts w:ascii="Arial" w:eastAsia="Times New Roman" w:hAnsi="Arial" w:cs="Arial"/>
          <w:b/>
          <w:bCs/>
          <w:i/>
          <w:iCs/>
          <w:color w:val="FF0000"/>
          <w:kern w:val="0"/>
          <w:sz w:val="32"/>
          <w:szCs w:val="32"/>
          <w:lang w:eastAsia="it-IT"/>
          <w14:ligatures w14:val="none"/>
        </w:rPr>
        <w:t xml:space="preserve"> - </w:t>
      </w:r>
      <w:proofErr w:type="gramStart"/>
      <w:r w:rsidR="00ED4179" w:rsidRPr="00ED4179">
        <w:rPr>
          <w:rFonts w:ascii="Arial" w:eastAsia="Times New Roman" w:hAnsi="Arial" w:cs="Arial"/>
          <w:b/>
          <w:bCs/>
          <w:i/>
          <w:iCs/>
          <w:color w:val="FF0000"/>
          <w:kern w:val="0"/>
          <w:sz w:val="32"/>
          <w:szCs w:val="32"/>
          <w:lang w:eastAsia="it-IT"/>
          <w14:ligatures w14:val="none"/>
        </w:rPr>
        <w:t>Sabato</w:t>
      </w:r>
      <w:proofErr w:type="gramEnd"/>
      <w:r w:rsidR="00ED4179" w:rsidRPr="00ED4179">
        <w:rPr>
          <w:rFonts w:ascii="Arial" w:eastAsia="Times New Roman" w:hAnsi="Arial" w:cs="Arial"/>
          <w:b/>
          <w:bCs/>
          <w:i/>
          <w:iCs/>
          <w:color w:val="FF0000"/>
          <w:kern w:val="0"/>
          <w:sz w:val="32"/>
          <w:szCs w:val="32"/>
          <w:lang w:eastAsia="it-IT"/>
          <w14:ligatures w14:val="none"/>
        </w:rPr>
        <w:t xml:space="preserve"> 28 febbraio ore 15,10</w:t>
      </w:r>
    </w:p>
    <w:p w14:paraId="62BF915B" w14:textId="321D7522" w:rsidR="001F07B2" w:rsidRPr="001F07B2" w:rsidRDefault="001F07B2" w:rsidP="00033EF8">
      <w:pPr>
        <w:spacing w:after="0"/>
        <w:jc w:val="center"/>
        <w:rPr>
          <w:rStyle w:val="Collegamentoipertestuale"/>
          <w:rFonts w:ascii="Arial" w:eastAsia="Times New Roman" w:hAnsi="Arial" w:cs="Arial"/>
          <w:b/>
          <w:bCs/>
          <w:i/>
          <w:iCs/>
          <w:kern w:val="0"/>
          <w:sz w:val="40"/>
          <w:szCs w:val="40"/>
          <w:lang w:eastAsia="it-IT"/>
          <w14:ligatures w14:val="none"/>
        </w:rPr>
      </w:pPr>
      <w:r w:rsidRPr="001F07B2">
        <w:rPr>
          <w:rStyle w:val="Collegamentoipertestuale"/>
          <w:rFonts w:ascii="Arial" w:eastAsia="Times New Roman" w:hAnsi="Arial" w:cs="Arial"/>
          <w:b/>
          <w:bCs/>
          <w:i/>
          <w:iCs/>
          <w:kern w:val="0"/>
          <w:sz w:val="40"/>
          <w:szCs w:val="40"/>
          <w:lang w:eastAsia="it-IT"/>
          <w14:ligatures w14:val="none"/>
        </w:rPr>
        <w:t>Museo dell’</w:t>
      </w:r>
      <w:hyperlink r:id="rId7" w:history="1">
        <w:r w:rsidRPr="001F07B2">
          <w:rPr>
            <w:rStyle w:val="Collegamentoipertestuale"/>
            <w:rFonts w:ascii="Arial" w:eastAsia="Times New Roman" w:hAnsi="Arial" w:cs="Arial"/>
            <w:b/>
            <w:bCs/>
            <w:i/>
            <w:iCs/>
            <w:kern w:val="0"/>
            <w:sz w:val="40"/>
            <w:szCs w:val="40"/>
            <w:lang w:eastAsia="it-IT"/>
            <w14:ligatures w14:val="none"/>
          </w:rPr>
          <w:t>Ara Pacis</w:t>
        </w:r>
      </w:hyperlink>
    </w:p>
    <w:p w14:paraId="5A84E98B" w14:textId="77777777" w:rsidR="001F07B2" w:rsidRPr="001F07B2" w:rsidRDefault="001F07B2" w:rsidP="001F07B2">
      <w:pPr>
        <w:spacing w:after="0"/>
        <w:jc w:val="center"/>
        <w:rPr>
          <w:rFonts w:ascii="Segoe UI" w:eastAsia="Times New Roman" w:hAnsi="Segoe UI" w:cs="Segoe UI"/>
          <w:color w:val="222A35" w:themeColor="text2" w:themeShade="80"/>
          <w:kern w:val="0"/>
          <w:lang w:eastAsia="it-IT"/>
          <w14:ligatures w14:val="none"/>
        </w:rPr>
      </w:pPr>
      <w:r w:rsidRPr="001F07B2">
        <w:rPr>
          <w:rFonts w:ascii="Segoe UI" w:eastAsia="Times New Roman" w:hAnsi="Segoe UI" w:cs="Segoe UI"/>
          <w:color w:val="222A35" w:themeColor="text2" w:themeShade="80"/>
          <w:kern w:val="0"/>
          <w:lang w:eastAsia="it-IT"/>
          <w14:ligatures w14:val="none"/>
        </w:rPr>
        <w:t>La visita guidata alla mostra “Impressionismo e oltre. Capolavori dal Detroit Institute of Arts” al Museo dell’</w:t>
      </w:r>
      <w:hyperlink r:id="rId8" w:history="1">
        <w:r w:rsidRPr="001F07B2">
          <w:rPr>
            <w:rStyle w:val="Collegamentoipertestuale"/>
            <w:rFonts w:ascii="Segoe UI" w:eastAsia="Times New Roman" w:hAnsi="Segoe UI" w:cs="Segoe UI"/>
            <w:kern w:val="0"/>
            <w:lang w:eastAsia="it-IT"/>
            <w14:ligatures w14:val="none"/>
          </w:rPr>
          <w:t>Ara Pacis</w:t>
        </w:r>
      </w:hyperlink>
      <w:r w:rsidRPr="001F07B2">
        <w:rPr>
          <w:rFonts w:ascii="Segoe UI" w:eastAsia="Times New Roman" w:hAnsi="Segoe UI" w:cs="Segoe UI"/>
          <w:color w:val="222A35" w:themeColor="text2" w:themeShade="80"/>
          <w:kern w:val="0"/>
          <w:lang w:eastAsia="it-IT"/>
          <w14:ligatures w14:val="none"/>
        </w:rPr>
        <w:t xml:space="preserve"> accompagna i visitatori in un percorso che celebra gli artisti che, tra la fine dell’Ottocento e l’inizio del Novecento, hanno rivoluzionato il modo di rappresentare la realtà.</w:t>
      </w:r>
    </w:p>
    <w:p w14:paraId="02725A6C" w14:textId="744059F9" w:rsidR="001F07B2" w:rsidRPr="001F07B2" w:rsidRDefault="001F07B2" w:rsidP="001F07B2">
      <w:pPr>
        <w:spacing w:after="0"/>
        <w:jc w:val="center"/>
        <w:rPr>
          <w:rFonts w:ascii="Segoe UI" w:eastAsia="Times New Roman" w:hAnsi="Segoe UI" w:cs="Segoe UI"/>
          <w:color w:val="222A35" w:themeColor="text2" w:themeShade="80"/>
          <w:kern w:val="0"/>
          <w:lang w:eastAsia="it-IT"/>
          <w14:ligatures w14:val="none"/>
        </w:rPr>
      </w:pPr>
      <w:r w:rsidRPr="001F07B2">
        <w:rPr>
          <w:rFonts w:ascii="Segoe UI" w:eastAsia="Times New Roman" w:hAnsi="Segoe UI" w:cs="Segoe UI"/>
          <w:color w:val="222A35" w:themeColor="text2" w:themeShade="80"/>
          <w:kern w:val="0"/>
          <w:lang w:eastAsia="it-IT"/>
          <w14:ligatures w14:val="none"/>
        </w:rPr>
        <w:t xml:space="preserve">Cinquanta opere, suddivise in quattro sezioni e provenienti dal prestigioso Detroit Institute of Arts, offrono un percorso che si snoda dagli esordi dell’Impressionismo alle Avanguardie del primo Novecento, segnando il passaggio dal tradizionale al moderno. Dai paesaggi impressionisti al </w:t>
      </w:r>
      <w:hyperlink r:id="rId9" w:history="1">
        <w:r w:rsidRPr="001F07B2">
          <w:rPr>
            <w:rStyle w:val="Collegamentoipertestuale"/>
            <w:rFonts w:ascii="Segoe UI" w:eastAsia="Times New Roman" w:hAnsi="Segoe UI" w:cs="Segoe UI"/>
            <w:kern w:val="0"/>
            <w:lang w:eastAsia="it-IT"/>
            <w14:ligatures w14:val="none"/>
          </w:rPr>
          <w:t>post-impressionismo</w:t>
        </w:r>
      </w:hyperlink>
      <w:r w:rsidRPr="001F07B2">
        <w:rPr>
          <w:rFonts w:ascii="Segoe UI" w:eastAsia="Times New Roman" w:hAnsi="Segoe UI" w:cs="Segoe UI"/>
          <w:color w:val="222A35" w:themeColor="text2" w:themeShade="80"/>
          <w:kern w:val="0"/>
          <w:lang w:eastAsia="it-IT"/>
          <w14:ligatures w14:val="none"/>
        </w:rPr>
        <w:t xml:space="preserve">, fino alle sperimentazioni delle nuove correnti artistiche, il percorso comprende capolavori di </w:t>
      </w:r>
      <w:hyperlink r:id="rId10" w:history="1">
        <w:r w:rsidRPr="001F07B2">
          <w:rPr>
            <w:rStyle w:val="Collegamentoipertestuale"/>
            <w:rFonts w:ascii="Segoe UI" w:eastAsia="Times New Roman" w:hAnsi="Segoe UI" w:cs="Segoe UI"/>
            <w:kern w:val="0"/>
            <w:lang w:eastAsia="it-IT"/>
            <w14:ligatures w14:val="none"/>
          </w:rPr>
          <w:t>Courbet</w:t>
        </w:r>
      </w:hyperlink>
      <w:r w:rsidRPr="001F07B2">
        <w:rPr>
          <w:rFonts w:ascii="Segoe UI" w:eastAsia="Times New Roman" w:hAnsi="Segoe UI" w:cs="Segoe UI"/>
          <w:color w:val="222A35" w:themeColor="text2" w:themeShade="80"/>
          <w:kern w:val="0"/>
          <w:lang w:eastAsia="it-IT"/>
          <w14:ligatures w14:val="none"/>
        </w:rPr>
        <w:t xml:space="preserve">, </w:t>
      </w:r>
      <w:hyperlink r:id="rId11" w:history="1">
        <w:r w:rsidRPr="001F07B2">
          <w:rPr>
            <w:rStyle w:val="Collegamentoipertestuale"/>
            <w:rFonts w:ascii="Segoe UI" w:eastAsia="Times New Roman" w:hAnsi="Segoe UI" w:cs="Segoe UI"/>
            <w:kern w:val="0"/>
            <w:lang w:eastAsia="it-IT"/>
            <w14:ligatures w14:val="none"/>
          </w:rPr>
          <w:t>Renoir</w:t>
        </w:r>
      </w:hyperlink>
      <w:r w:rsidRPr="001F07B2">
        <w:rPr>
          <w:rFonts w:ascii="Segoe UI" w:eastAsia="Times New Roman" w:hAnsi="Segoe UI" w:cs="Segoe UI"/>
          <w:color w:val="222A35" w:themeColor="text2" w:themeShade="80"/>
          <w:kern w:val="0"/>
          <w:lang w:eastAsia="it-IT"/>
          <w14:ligatures w14:val="none"/>
        </w:rPr>
        <w:t xml:space="preserve">, </w:t>
      </w:r>
      <w:hyperlink r:id="rId12" w:history="1">
        <w:r w:rsidRPr="001F07B2">
          <w:rPr>
            <w:rStyle w:val="Collegamentoipertestuale"/>
            <w:rFonts w:ascii="Segoe UI" w:eastAsia="Times New Roman" w:hAnsi="Segoe UI" w:cs="Segoe UI"/>
            <w:kern w:val="0"/>
            <w:lang w:eastAsia="it-IT"/>
            <w14:ligatures w14:val="none"/>
          </w:rPr>
          <w:t>Degas</w:t>
        </w:r>
      </w:hyperlink>
      <w:r w:rsidRPr="001F07B2">
        <w:rPr>
          <w:rFonts w:ascii="Segoe UI" w:eastAsia="Times New Roman" w:hAnsi="Segoe UI" w:cs="Segoe UI"/>
          <w:color w:val="222A35" w:themeColor="text2" w:themeShade="80"/>
          <w:kern w:val="0"/>
          <w:lang w:eastAsia="it-IT"/>
          <w14:ligatures w14:val="none"/>
        </w:rPr>
        <w:t xml:space="preserve">, </w:t>
      </w:r>
      <w:hyperlink r:id="rId13" w:history="1">
        <w:r w:rsidRPr="001F07B2">
          <w:rPr>
            <w:rStyle w:val="Collegamentoipertestuale"/>
            <w:rFonts w:ascii="Segoe UI" w:eastAsia="Times New Roman" w:hAnsi="Segoe UI" w:cs="Segoe UI"/>
            <w:kern w:val="0"/>
            <w:lang w:eastAsia="it-IT"/>
            <w14:ligatures w14:val="none"/>
          </w:rPr>
          <w:t>Cézanne</w:t>
        </w:r>
      </w:hyperlink>
      <w:r w:rsidRPr="001F07B2">
        <w:rPr>
          <w:rFonts w:ascii="Segoe UI" w:eastAsia="Times New Roman" w:hAnsi="Segoe UI" w:cs="Segoe UI"/>
          <w:color w:val="222A35" w:themeColor="text2" w:themeShade="80"/>
          <w:kern w:val="0"/>
          <w:lang w:eastAsia="it-IT"/>
          <w14:ligatures w14:val="none"/>
        </w:rPr>
        <w:t>,</w:t>
      </w:r>
      <w:hyperlink r:id="rId14" w:history="1">
        <w:r w:rsidRPr="001F07B2">
          <w:rPr>
            <w:rStyle w:val="Collegamentoipertestuale"/>
            <w:rFonts w:ascii="Segoe UI" w:eastAsia="Times New Roman" w:hAnsi="Segoe UI" w:cs="Segoe UI"/>
            <w:kern w:val="0"/>
            <w:lang w:eastAsia="it-IT"/>
            <w14:ligatures w14:val="none"/>
          </w:rPr>
          <w:t xml:space="preserve"> Van Gogh</w:t>
        </w:r>
      </w:hyperlink>
      <w:r w:rsidRPr="001F07B2">
        <w:rPr>
          <w:rFonts w:ascii="Segoe UI" w:eastAsia="Times New Roman" w:hAnsi="Segoe UI" w:cs="Segoe UI"/>
          <w:color w:val="222A35" w:themeColor="text2" w:themeShade="80"/>
          <w:kern w:val="0"/>
          <w:lang w:eastAsia="it-IT"/>
          <w14:ligatures w14:val="none"/>
        </w:rPr>
        <w:t xml:space="preserve">, </w:t>
      </w:r>
      <w:hyperlink r:id="rId15" w:history="1">
        <w:r w:rsidRPr="001F07B2">
          <w:rPr>
            <w:rStyle w:val="Collegamentoipertestuale"/>
            <w:rFonts w:ascii="Segoe UI" w:eastAsia="Times New Roman" w:hAnsi="Segoe UI" w:cs="Segoe UI"/>
            <w:kern w:val="0"/>
            <w:lang w:eastAsia="it-IT"/>
            <w14:ligatures w14:val="none"/>
          </w:rPr>
          <w:t>Matisse</w:t>
        </w:r>
      </w:hyperlink>
      <w:r w:rsidRPr="001F07B2">
        <w:rPr>
          <w:rFonts w:ascii="Segoe UI" w:eastAsia="Times New Roman" w:hAnsi="Segoe UI" w:cs="Segoe UI"/>
          <w:color w:val="222A35" w:themeColor="text2" w:themeShade="80"/>
          <w:kern w:val="0"/>
          <w:lang w:eastAsia="it-IT"/>
          <w14:ligatures w14:val="none"/>
        </w:rPr>
        <w:t xml:space="preserve">, </w:t>
      </w:r>
      <w:hyperlink r:id="rId16" w:history="1">
        <w:r w:rsidRPr="001F07B2">
          <w:rPr>
            <w:rStyle w:val="Collegamentoipertestuale"/>
            <w:rFonts w:ascii="Segoe UI" w:eastAsia="Times New Roman" w:hAnsi="Segoe UI" w:cs="Segoe UI"/>
            <w:kern w:val="0"/>
            <w:lang w:eastAsia="it-IT"/>
            <w14:ligatures w14:val="none"/>
          </w:rPr>
          <w:t>Picasso</w:t>
        </w:r>
      </w:hyperlink>
      <w:r w:rsidRPr="001F07B2">
        <w:rPr>
          <w:rFonts w:ascii="Segoe UI" w:eastAsia="Times New Roman" w:hAnsi="Segoe UI" w:cs="Segoe UI"/>
          <w:color w:val="222A35" w:themeColor="text2" w:themeShade="80"/>
          <w:kern w:val="0"/>
          <w:lang w:eastAsia="it-IT"/>
          <w14:ligatures w14:val="none"/>
        </w:rPr>
        <w:t xml:space="preserve">, </w:t>
      </w:r>
      <w:hyperlink r:id="rId17" w:history="1">
        <w:r w:rsidRPr="001F07B2">
          <w:rPr>
            <w:rStyle w:val="Collegamentoipertestuale"/>
            <w:rFonts w:ascii="Segoe UI" w:eastAsia="Times New Roman" w:hAnsi="Segoe UI" w:cs="Segoe UI"/>
            <w:kern w:val="0"/>
            <w:lang w:eastAsia="it-IT"/>
            <w14:ligatures w14:val="none"/>
          </w:rPr>
          <w:t>Modigliani</w:t>
        </w:r>
      </w:hyperlink>
      <w:r w:rsidRPr="001F07B2">
        <w:rPr>
          <w:rFonts w:ascii="Segoe UI" w:eastAsia="Times New Roman" w:hAnsi="Segoe UI" w:cs="Segoe UI"/>
          <w:color w:val="222A35" w:themeColor="text2" w:themeShade="80"/>
          <w:kern w:val="0"/>
          <w:lang w:eastAsia="it-IT"/>
          <w14:ligatures w14:val="none"/>
        </w:rPr>
        <w:t xml:space="preserve">, </w:t>
      </w:r>
      <w:hyperlink r:id="rId18" w:history="1">
        <w:r w:rsidRPr="001F07B2">
          <w:rPr>
            <w:rStyle w:val="Collegamentoipertestuale"/>
            <w:rFonts w:ascii="Segoe UI" w:eastAsia="Times New Roman" w:hAnsi="Segoe UI" w:cs="Segoe UI"/>
            <w:kern w:val="0"/>
            <w:lang w:eastAsia="it-IT"/>
            <w14:ligatures w14:val="none"/>
          </w:rPr>
          <w:t>Kandinskij</w:t>
        </w:r>
      </w:hyperlink>
      <w:r w:rsidRPr="001F07B2">
        <w:rPr>
          <w:rFonts w:ascii="Segoe UI" w:eastAsia="Times New Roman" w:hAnsi="Segoe UI" w:cs="Segoe UI"/>
          <w:color w:val="222A35" w:themeColor="text2" w:themeShade="80"/>
          <w:kern w:val="0"/>
          <w:lang w:eastAsia="it-IT"/>
          <w14:ligatures w14:val="none"/>
        </w:rPr>
        <w:t xml:space="preserve"> e Beckmann.</w:t>
      </w:r>
      <w:r>
        <w:rPr>
          <w:rFonts w:ascii="Segoe UI" w:eastAsia="Times New Roman" w:hAnsi="Segoe UI" w:cs="Segoe UI"/>
          <w:color w:val="222A35" w:themeColor="text2" w:themeShade="80"/>
          <w:kern w:val="0"/>
          <w:lang w:eastAsia="it-IT"/>
          <w14:ligatures w14:val="none"/>
        </w:rPr>
        <w:t xml:space="preserve"> </w:t>
      </w:r>
      <w:r w:rsidRPr="001F07B2">
        <w:rPr>
          <w:rFonts w:ascii="Segoe UI" w:eastAsia="Times New Roman" w:hAnsi="Segoe UI" w:cs="Segoe UI"/>
          <w:color w:val="222A35" w:themeColor="text2" w:themeShade="80"/>
          <w:kern w:val="0"/>
          <w:lang w:eastAsia="it-IT"/>
          <w14:ligatures w14:val="none"/>
        </w:rPr>
        <w:t>La mostra di Roma racconta non solo un cambiamento stilistico, ma una vera e propria rivoluzione formale e cromatica, ponendo particolare attenzione alle tematiche di luce e spazio. Opere esposte come Donna in poltrona (1874) di Renoir e Bagnanti (1879-1880) di Cézanne incarnano perfettamente questo rinnovamento. Tra paesaggi naturalistici, ritratti, scene di nudo femminile e rappresentazioni della vita urbana, dove prendono spazio sensazioni, emozioni e idee, la mostra offre uno sguardo completo su un’epoca che ha ridefinito i confini dell’arte.</w:t>
      </w:r>
    </w:p>
    <w:p w14:paraId="78039B13" w14:textId="77777777" w:rsidR="001F07B2" w:rsidRPr="001F07B2" w:rsidRDefault="001F07B2" w:rsidP="001F07B2">
      <w:pPr>
        <w:spacing w:after="0"/>
        <w:jc w:val="center"/>
        <w:rPr>
          <w:rFonts w:ascii="Segoe UI" w:eastAsia="Times New Roman" w:hAnsi="Segoe UI" w:cs="Segoe UI"/>
          <w:color w:val="222A35" w:themeColor="text2" w:themeShade="80"/>
          <w:kern w:val="0"/>
          <w:lang w:eastAsia="it-IT"/>
          <w14:ligatures w14:val="none"/>
        </w:rPr>
      </w:pPr>
      <w:r w:rsidRPr="001F07B2">
        <w:rPr>
          <w:rFonts w:ascii="Segoe UI" w:eastAsia="Times New Roman" w:hAnsi="Segoe UI" w:cs="Segoe UI"/>
          <w:color w:val="222A35" w:themeColor="text2" w:themeShade="80"/>
          <w:kern w:val="0"/>
          <w:lang w:eastAsia="it-IT"/>
          <w14:ligatures w14:val="none"/>
        </w:rPr>
        <w:t>La visita guidata alla mostra “Impressionismo e oltre” a Roma è un omaggio agli esordi della pittura moderna e a quegli artisti che sfidando convenzioni consolidate, esplorando luce, colore e forma in modi innovativi, hanno gettato le basi delle correnti artistiche che avrebbero definito il XX secolo.</w:t>
      </w:r>
    </w:p>
    <w:p w14:paraId="7C38B713" w14:textId="0D221078" w:rsidR="001F07B2" w:rsidRDefault="00C854E2" w:rsidP="00033EF8">
      <w:pPr>
        <w:spacing w:after="0"/>
        <w:jc w:val="both"/>
        <w:rPr>
          <w:rFonts w:ascii="Albertus Medium" w:hAnsi="Albertus Medium"/>
          <w:b/>
          <w:color w:val="000080"/>
          <w:sz w:val="32"/>
          <w:szCs w:val="32"/>
        </w:rPr>
      </w:pPr>
      <w:r w:rsidRPr="00A65444">
        <w:rPr>
          <w:rFonts w:ascii="Albertus Medium" w:hAnsi="Albertus Medium"/>
          <w:b/>
          <w:color w:val="000080"/>
          <w:sz w:val="32"/>
          <w:szCs w:val="32"/>
        </w:rPr>
        <w:t xml:space="preserve">Quota </w:t>
      </w:r>
      <w:r w:rsidR="001F07B2">
        <w:rPr>
          <w:rFonts w:ascii="Albertus Medium" w:hAnsi="Albertus Medium"/>
          <w:b/>
          <w:color w:val="000080"/>
          <w:sz w:val="32"/>
          <w:szCs w:val="32"/>
        </w:rPr>
        <w:t>INTERO</w:t>
      </w:r>
      <w:r w:rsidRPr="00A65444">
        <w:rPr>
          <w:rFonts w:ascii="Albertus Medium" w:hAnsi="Albertus Medium"/>
          <w:b/>
          <w:color w:val="000080"/>
          <w:sz w:val="32"/>
          <w:szCs w:val="32"/>
        </w:rPr>
        <w:t>:</w:t>
      </w:r>
      <w:r w:rsidR="00A65444">
        <w:rPr>
          <w:rFonts w:ascii="Albertus Medium" w:hAnsi="Albertus Medium"/>
          <w:b/>
          <w:color w:val="000080"/>
          <w:sz w:val="32"/>
          <w:szCs w:val="32"/>
        </w:rPr>
        <w:t xml:space="preserve"> </w:t>
      </w:r>
      <w:r w:rsidR="001F07B2">
        <w:rPr>
          <w:rFonts w:ascii="Albertus Medium" w:hAnsi="Albertus Medium"/>
          <w:b/>
          <w:color w:val="000080"/>
          <w:sz w:val="32"/>
          <w:szCs w:val="32"/>
        </w:rPr>
        <w:t>€ 1</w:t>
      </w:r>
      <w:r w:rsidR="000A316D">
        <w:rPr>
          <w:rFonts w:ascii="Albertus Medium" w:hAnsi="Albertus Medium"/>
          <w:b/>
          <w:color w:val="000080"/>
          <w:sz w:val="32"/>
          <w:szCs w:val="32"/>
        </w:rPr>
        <w:t>7,5</w:t>
      </w:r>
      <w:r w:rsidR="001F07B2">
        <w:rPr>
          <w:rFonts w:ascii="Albertus Medium" w:hAnsi="Albertus Medium"/>
          <w:b/>
          <w:color w:val="000080"/>
          <w:sz w:val="32"/>
          <w:szCs w:val="32"/>
        </w:rPr>
        <w:t xml:space="preserve"> – Quota possessori MIC Card: €1</w:t>
      </w:r>
      <w:r w:rsidR="000A316D">
        <w:rPr>
          <w:rFonts w:ascii="Albertus Medium" w:hAnsi="Albertus Medium"/>
          <w:b/>
          <w:color w:val="000080"/>
          <w:sz w:val="32"/>
          <w:szCs w:val="32"/>
        </w:rPr>
        <w:t>5,5</w:t>
      </w:r>
      <w:r w:rsidR="00033EF8">
        <w:rPr>
          <w:rFonts w:ascii="Albertus Medium" w:hAnsi="Albertus Medium"/>
          <w:b/>
          <w:color w:val="000080"/>
          <w:sz w:val="32"/>
          <w:szCs w:val="32"/>
        </w:rPr>
        <w:t xml:space="preserve">. </w:t>
      </w:r>
    </w:p>
    <w:p w14:paraId="6672E338" w14:textId="77777777" w:rsidR="000A316D" w:rsidRPr="000A316D" w:rsidRDefault="000A316D" w:rsidP="000A316D">
      <w:pPr>
        <w:spacing w:after="0"/>
        <w:jc w:val="both"/>
        <w:rPr>
          <w:rFonts w:ascii="Albertus Medium" w:hAnsi="Albertus Medium"/>
          <w:b/>
          <w:color w:val="000080"/>
          <w:sz w:val="20"/>
          <w:szCs w:val="20"/>
        </w:rPr>
      </w:pPr>
      <w:r w:rsidRPr="000A316D">
        <w:rPr>
          <w:rFonts w:ascii="Albertus Medium" w:hAnsi="Albertus Medium"/>
          <w:b/>
          <w:color w:val="000080"/>
          <w:sz w:val="20"/>
          <w:szCs w:val="20"/>
        </w:rPr>
        <w:t xml:space="preserve">La quota comprende: prenotazione e diritti di prevendita obbligatori, biglietto d’ingresso per la Mostra e </w:t>
      </w:r>
    </w:p>
    <w:p w14:paraId="4930F992" w14:textId="37F103B7" w:rsidR="003C12A8" w:rsidRPr="00FD24C5" w:rsidRDefault="000A316D" w:rsidP="000A316D">
      <w:pPr>
        <w:spacing w:after="0"/>
        <w:jc w:val="both"/>
        <w:rPr>
          <w:rFonts w:ascii="Albertus Medium" w:hAnsi="Albertus Medium"/>
          <w:b/>
          <w:color w:val="000080"/>
          <w:sz w:val="24"/>
          <w:szCs w:val="24"/>
          <w:u w:val="single"/>
        </w:rPr>
      </w:pPr>
      <w:r w:rsidRPr="000A316D">
        <w:rPr>
          <w:rFonts w:ascii="Albertus Medium" w:hAnsi="Albertus Medium"/>
          <w:b/>
          <w:color w:val="000080"/>
          <w:sz w:val="20"/>
          <w:szCs w:val="20"/>
        </w:rPr>
        <w:t>dispositivo auricolare</w:t>
      </w:r>
      <w:r>
        <w:rPr>
          <w:rFonts w:ascii="Albertus Medium" w:hAnsi="Albertus Medium"/>
          <w:b/>
          <w:color w:val="000080"/>
          <w:sz w:val="20"/>
          <w:szCs w:val="20"/>
        </w:rPr>
        <w:t xml:space="preserve">. </w:t>
      </w:r>
      <w:r w:rsidR="003C12A8" w:rsidRPr="000A316D">
        <w:rPr>
          <w:rFonts w:ascii="Albertus Medium" w:hAnsi="Albertus Medium"/>
          <w:b/>
          <w:color w:val="FF0000"/>
          <w:sz w:val="24"/>
          <w:szCs w:val="24"/>
          <w:u w:val="single"/>
        </w:rPr>
        <w:t>I COSTI DELLA VISITA</w:t>
      </w:r>
      <w:r w:rsidR="00214690" w:rsidRPr="000A316D">
        <w:rPr>
          <w:rFonts w:ascii="Albertus Medium" w:hAnsi="Albertus Medium"/>
          <w:b/>
          <w:color w:val="FF0000"/>
          <w:sz w:val="24"/>
          <w:szCs w:val="24"/>
          <w:u w:val="single"/>
        </w:rPr>
        <w:t xml:space="preserve"> GUIDATA</w:t>
      </w:r>
      <w:r w:rsidR="003C12A8" w:rsidRPr="000A316D">
        <w:rPr>
          <w:rFonts w:ascii="Albertus Medium" w:hAnsi="Albertus Medium"/>
          <w:b/>
          <w:color w:val="FF0000"/>
          <w:sz w:val="24"/>
          <w:szCs w:val="24"/>
          <w:u w:val="single"/>
        </w:rPr>
        <w:t xml:space="preserve"> SONO A CARICO DI AIDA</w:t>
      </w:r>
      <w:r w:rsidR="003C12A8" w:rsidRPr="00FD24C5">
        <w:rPr>
          <w:rFonts w:ascii="Albertus Medium" w:hAnsi="Albertus Medium"/>
          <w:b/>
          <w:color w:val="000080"/>
          <w:sz w:val="24"/>
          <w:szCs w:val="24"/>
          <w:u w:val="single"/>
        </w:rPr>
        <w:t>.</w:t>
      </w:r>
    </w:p>
    <w:p w14:paraId="1B1EC0C5" w14:textId="77777777" w:rsidR="00C854E2" w:rsidRPr="003C66FC" w:rsidRDefault="00C854E2" w:rsidP="00FE09B9">
      <w:pPr>
        <w:spacing w:after="0"/>
        <w:rPr>
          <w:rFonts w:ascii="Albertus Medium" w:hAnsi="Albertus Medium"/>
          <w:color w:val="000080"/>
        </w:rPr>
      </w:pPr>
      <w:r w:rsidRPr="003C66FC">
        <w:rPr>
          <w:rFonts w:ascii="Albertus Medium" w:hAnsi="Albertus Medium"/>
          <w:color w:val="000080"/>
        </w:rPr>
        <w:t>La prenotazione, IMMEDIATA e OBBLIGATORIA, potrà essere effettuata presso:</w:t>
      </w:r>
    </w:p>
    <w:p w14:paraId="1F3EC26D" w14:textId="2F5C872B" w:rsidR="00C854E2" w:rsidRPr="00C854E2" w:rsidRDefault="00C854E2" w:rsidP="00FE09B9">
      <w:pPr>
        <w:spacing w:after="0"/>
        <w:rPr>
          <w:rFonts w:ascii="Arial" w:eastAsia="Times New Roman" w:hAnsi="Arial" w:cs="Arial"/>
          <w:b/>
          <w:bCs/>
          <w:i/>
          <w:iCs/>
          <w:color w:val="008080"/>
          <w:kern w:val="0"/>
          <w:sz w:val="40"/>
          <w:szCs w:val="40"/>
          <w:lang w:eastAsia="it-IT"/>
          <w14:ligatures w14:val="none"/>
        </w:rPr>
      </w:pPr>
      <w:r w:rsidRPr="00F8251F">
        <w:rPr>
          <w:rFonts w:ascii="Albertus Medium" w:hAnsi="Albertus Medium"/>
          <w:b/>
          <w:color w:val="3366FF"/>
          <w:sz w:val="28"/>
          <w:szCs w:val="28"/>
        </w:rPr>
        <w:t>Martino Nicoletti</w:t>
      </w:r>
      <w:r>
        <w:rPr>
          <w:rFonts w:ascii="Albertus Medium" w:hAnsi="Albertus Medium"/>
          <w:b/>
          <w:color w:val="3366FF"/>
          <w:sz w:val="28"/>
          <w:szCs w:val="28"/>
        </w:rPr>
        <w:t xml:space="preserve">   </w:t>
      </w:r>
      <w:r>
        <w:rPr>
          <w:rFonts w:ascii="Albertus Medium" w:hAnsi="Albertus Medium"/>
          <w:color w:val="000080"/>
          <w:sz w:val="28"/>
          <w:szCs w:val="28"/>
        </w:rPr>
        <w:t>-    m.nicoletti@almaviva.it</w:t>
      </w:r>
    </w:p>
    <w:sectPr w:rsidR="00C854E2" w:rsidRPr="00C854E2" w:rsidSect="00E273EA">
      <w:pgSz w:w="11906" w:h="16838"/>
      <w:pgMar w:top="907"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60CAB"/>
    <w:multiLevelType w:val="multilevel"/>
    <w:tmpl w:val="6AC0B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0C184B"/>
    <w:multiLevelType w:val="hybridMultilevel"/>
    <w:tmpl w:val="759A19D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152913955">
    <w:abstractNumId w:val="1"/>
  </w:num>
  <w:num w:numId="2" w16cid:durableId="1363436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F66"/>
    <w:rsid w:val="00033EF8"/>
    <w:rsid w:val="000640FC"/>
    <w:rsid w:val="000851C8"/>
    <w:rsid w:val="000A316D"/>
    <w:rsid w:val="001F07B2"/>
    <w:rsid w:val="00214690"/>
    <w:rsid w:val="00352D5C"/>
    <w:rsid w:val="003C12A8"/>
    <w:rsid w:val="003E1F66"/>
    <w:rsid w:val="003F13DF"/>
    <w:rsid w:val="00411B9F"/>
    <w:rsid w:val="00520E0A"/>
    <w:rsid w:val="005A4FE6"/>
    <w:rsid w:val="005B2393"/>
    <w:rsid w:val="005C3C59"/>
    <w:rsid w:val="0082478A"/>
    <w:rsid w:val="00855C41"/>
    <w:rsid w:val="00915BEF"/>
    <w:rsid w:val="00917CB1"/>
    <w:rsid w:val="00A65444"/>
    <w:rsid w:val="00B370A4"/>
    <w:rsid w:val="00B40534"/>
    <w:rsid w:val="00B41837"/>
    <w:rsid w:val="00BC24B4"/>
    <w:rsid w:val="00C023BD"/>
    <w:rsid w:val="00C854E2"/>
    <w:rsid w:val="00CC4C19"/>
    <w:rsid w:val="00CE18F3"/>
    <w:rsid w:val="00CE373D"/>
    <w:rsid w:val="00D02957"/>
    <w:rsid w:val="00DC2113"/>
    <w:rsid w:val="00E273EA"/>
    <w:rsid w:val="00E434BD"/>
    <w:rsid w:val="00E44BF5"/>
    <w:rsid w:val="00EB56EE"/>
    <w:rsid w:val="00EB576D"/>
    <w:rsid w:val="00ED4179"/>
    <w:rsid w:val="00F00FA1"/>
    <w:rsid w:val="00F05FF8"/>
    <w:rsid w:val="00FD1AA0"/>
    <w:rsid w:val="00FD24C5"/>
    <w:rsid w:val="00FE09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B74CA"/>
  <w15:chartTrackingRefBased/>
  <w15:docId w15:val="{F7A77C7D-6737-4D17-9C87-402521BA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C854E2"/>
    <w:pPr>
      <w:spacing w:before="100" w:beforeAutospacing="1" w:after="100" w:afterAutospacing="1" w:line="240" w:lineRule="auto"/>
    </w:pPr>
    <w:rPr>
      <w:rFonts w:ascii="Times New Roman" w:hAnsi="Times New Roman" w:cs="Times New Roman"/>
      <w:kern w:val="0"/>
      <w:sz w:val="24"/>
      <w:szCs w:val="24"/>
      <w:lang w:eastAsia="it-IT"/>
      <w14:ligatures w14:val="none"/>
    </w:rPr>
  </w:style>
  <w:style w:type="paragraph" w:styleId="Paragrafoelenco">
    <w:name w:val="List Paragraph"/>
    <w:basedOn w:val="Normale"/>
    <w:uiPriority w:val="34"/>
    <w:qFormat/>
    <w:rsid w:val="00C854E2"/>
    <w:pPr>
      <w:spacing w:after="0" w:line="240" w:lineRule="auto"/>
      <w:ind w:left="720"/>
    </w:pPr>
    <w:rPr>
      <w:rFonts w:ascii="Calibri" w:hAnsi="Calibri" w:cs="Calibri"/>
      <w:kern w:val="0"/>
      <w14:ligatures w14:val="none"/>
    </w:rPr>
  </w:style>
  <w:style w:type="character" w:styleId="Collegamentoipertestuale">
    <w:name w:val="Hyperlink"/>
    <w:basedOn w:val="Carpredefinitoparagrafo"/>
    <w:uiPriority w:val="99"/>
    <w:unhideWhenUsed/>
    <w:rsid w:val="00A65444"/>
    <w:rPr>
      <w:color w:val="0563C1" w:themeColor="hyperlink"/>
      <w:u w:val="single"/>
    </w:rPr>
  </w:style>
  <w:style w:type="character" w:styleId="Menzionenonrisolta">
    <w:name w:val="Unresolved Mention"/>
    <w:basedOn w:val="Carpredefinitoparagrafo"/>
    <w:uiPriority w:val="99"/>
    <w:semiHidden/>
    <w:unhideWhenUsed/>
    <w:rsid w:val="00A654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35790">
      <w:bodyDiv w:val="1"/>
      <w:marLeft w:val="0"/>
      <w:marRight w:val="0"/>
      <w:marTop w:val="0"/>
      <w:marBottom w:val="0"/>
      <w:divBdr>
        <w:top w:val="none" w:sz="0" w:space="0" w:color="auto"/>
        <w:left w:val="none" w:sz="0" w:space="0" w:color="auto"/>
        <w:bottom w:val="none" w:sz="0" w:space="0" w:color="auto"/>
        <w:right w:val="none" w:sz="0" w:space="0" w:color="auto"/>
      </w:divBdr>
    </w:div>
    <w:div w:id="198320497">
      <w:bodyDiv w:val="1"/>
      <w:marLeft w:val="0"/>
      <w:marRight w:val="0"/>
      <w:marTop w:val="0"/>
      <w:marBottom w:val="0"/>
      <w:divBdr>
        <w:top w:val="none" w:sz="0" w:space="0" w:color="auto"/>
        <w:left w:val="none" w:sz="0" w:space="0" w:color="auto"/>
        <w:bottom w:val="none" w:sz="0" w:space="0" w:color="auto"/>
        <w:right w:val="none" w:sz="0" w:space="0" w:color="auto"/>
      </w:divBdr>
    </w:div>
    <w:div w:id="434519952">
      <w:bodyDiv w:val="1"/>
      <w:marLeft w:val="0"/>
      <w:marRight w:val="0"/>
      <w:marTop w:val="0"/>
      <w:marBottom w:val="0"/>
      <w:divBdr>
        <w:top w:val="none" w:sz="0" w:space="0" w:color="auto"/>
        <w:left w:val="none" w:sz="0" w:space="0" w:color="auto"/>
        <w:bottom w:val="none" w:sz="0" w:space="0" w:color="auto"/>
        <w:right w:val="none" w:sz="0" w:space="0" w:color="auto"/>
      </w:divBdr>
    </w:div>
    <w:div w:id="507601378">
      <w:bodyDiv w:val="1"/>
      <w:marLeft w:val="0"/>
      <w:marRight w:val="0"/>
      <w:marTop w:val="0"/>
      <w:marBottom w:val="0"/>
      <w:divBdr>
        <w:top w:val="none" w:sz="0" w:space="0" w:color="auto"/>
        <w:left w:val="none" w:sz="0" w:space="0" w:color="auto"/>
        <w:bottom w:val="none" w:sz="0" w:space="0" w:color="auto"/>
        <w:right w:val="none" w:sz="0" w:space="0" w:color="auto"/>
      </w:divBdr>
    </w:div>
    <w:div w:id="561449620">
      <w:bodyDiv w:val="1"/>
      <w:marLeft w:val="0"/>
      <w:marRight w:val="0"/>
      <w:marTop w:val="0"/>
      <w:marBottom w:val="0"/>
      <w:divBdr>
        <w:top w:val="none" w:sz="0" w:space="0" w:color="auto"/>
        <w:left w:val="none" w:sz="0" w:space="0" w:color="auto"/>
        <w:bottom w:val="none" w:sz="0" w:space="0" w:color="auto"/>
        <w:right w:val="none" w:sz="0" w:space="0" w:color="auto"/>
      </w:divBdr>
    </w:div>
    <w:div w:id="649603935">
      <w:bodyDiv w:val="1"/>
      <w:marLeft w:val="0"/>
      <w:marRight w:val="0"/>
      <w:marTop w:val="0"/>
      <w:marBottom w:val="0"/>
      <w:divBdr>
        <w:top w:val="none" w:sz="0" w:space="0" w:color="auto"/>
        <w:left w:val="none" w:sz="0" w:space="0" w:color="auto"/>
        <w:bottom w:val="none" w:sz="0" w:space="0" w:color="auto"/>
        <w:right w:val="none" w:sz="0" w:space="0" w:color="auto"/>
      </w:divBdr>
    </w:div>
    <w:div w:id="991060153">
      <w:bodyDiv w:val="1"/>
      <w:marLeft w:val="0"/>
      <w:marRight w:val="0"/>
      <w:marTop w:val="0"/>
      <w:marBottom w:val="0"/>
      <w:divBdr>
        <w:top w:val="none" w:sz="0" w:space="0" w:color="auto"/>
        <w:left w:val="none" w:sz="0" w:space="0" w:color="auto"/>
        <w:bottom w:val="none" w:sz="0" w:space="0" w:color="auto"/>
        <w:right w:val="none" w:sz="0" w:space="0" w:color="auto"/>
      </w:divBdr>
    </w:div>
    <w:div w:id="1018695676">
      <w:bodyDiv w:val="1"/>
      <w:marLeft w:val="0"/>
      <w:marRight w:val="0"/>
      <w:marTop w:val="0"/>
      <w:marBottom w:val="0"/>
      <w:divBdr>
        <w:top w:val="none" w:sz="0" w:space="0" w:color="auto"/>
        <w:left w:val="none" w:sz="0" w:space="0" w:color="auto"/>
        <w:bottom w:val="none" w:sz="0" w:space="0" w:color="auto"/>
        <w:right w:val="none" w:sz="0" w:space="0" w:color="auto"/>
      </w:divBdr>
    </w:div>
    <w:div w:id="1341933630">
      <w:bodyDiv w:val="1"/>
      <w:marLeft w:val="0"/>
      <w:marRight w:val="0"/>
      <w:marTop w:val="0"/>
      <w:marBottom w:val="0"/>
      <w:divBdr>
        <w:top w:val="none" w:sz="0" w:space="0" w:color="auto"/>
        <w:left w:val="none" w:sz="0" w:space="0" w:color="auto"/>
        <w:bottom w:val="none" w:sz="0" w:space="0" w:color="auto"/>
        <w:right w:val="none" w:sz="0" w:space="0" w:color="auto"/>
      </w:divBdr>
    </w:div>
    <w:div w:id="1388526866">
      <w:bodyDiv w:val="1"/>
      <w:marLeft w:val="0"/>
      <w:marRight w:val="0"/>
      <w:marTop w:val="0"/>
      <w:marBottom w:val="0"/>
      <w:divBdr>
        <w:top w:val="none" w:sz="0" w:space="0" w:color="auto"/>
        <w:left w:val="none" w:sz="0" w:space="0" w:color="auto"/>
        <w:bottom w:val="none" w:sz="0" w:space="0" w:color="auto"/>
        <w:right w:val="none" w:sz="0" w:space="0" w:color="auto"/>
      </w:divBdr>
    </w:div>
    <w:div w:id="1872304534">
      <w:bodyDiv w:val="1"/>
      <w:marLeft w:val="0"/>
      <w:marRight w:val="0"/>
      <w:marTop w:val="0"/>
      <w:marBottom w:val="0"/>
      <w:divBdr>
        <w:top w:val="none" w:sz="0" w:space="0" w:color="auto"/>
        <w:left w:val="none" w:sz="0" w:space="0" w:color="auto"/>
        <w:bottom w:val="none" w:sz="0" w:space="0" w:color="auto"/>
        <w:right w:val="none" w:sz="0" w:space="0" w:color="auto"/>
      </w:divBdr>
    </w:div>
    <w:div w:id="197749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omaguida.com/visite-guidate/monumenti-ville-e-palazzi-di-roma/ara-pacis-mausoleo-augusto/" TargetMode="External"/><Relationship Id="rId13" Type="http://schemas.openxmlformats.org/officeDocument/2006/relationships/hyperlink" Target="https://www.romaguida.com/visite-guidate-e-tour-culturali/?idm=871" TargetMode="External"/><Relationship Id="rId18" Type="http://schemas.openxmlformats.org/officeDocument/2006/relationships/hyperlink" Target="https://www.romaguida.com/visite-guidate-e-tour-culturali/?idm=692" TargetMode="External"/><Relationship Id="rId3" Type="http://schemas.openxmlformats.org/officeDocument/2006/relationships/settings" Target="settings.xml"/><Relationship Id="rId7" Type="http://schemas.openxmlformats.org/officeDocument/2006/relationships/hyperlink" Target="https://www.romaguida.com/visite-guidate/monumenti-ville-e-palazzi-di-roma/ara-pacis-mausoleo-augusto/" TargetMode="External"/><Relationship Id="rId12" Type="http://schemas.openxmlformats.org/officeDocument/2006/relationships/hyperlink" Target="https://www.romaguida.com/visite-guidate-e-tour-culturali/?idm=994" TargetMode="External"/><Relationship Id="rId17" Type="http://schemas.openxmlformats.org/officeDocument/2006/relationships/hyperlink" Target="https://www.romaguida.com/visite-guidate-e-tour-culturali/?idm=763" TargetMode="External"/><Relationship Id="rId2" Type="http://schemas.openxmlformats.org/officeDocument/2006/relationships/styles" Target="styles.xml"/><Relationship Id="rId16" Type="http://schemas.openxmlformats.org/officeDocument/2006/relationships/hyperlink" Target="https://www.romaguida.com/visite-guidate/mostre-di-roma/mostra-picasso-fanteria-roma/"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romaguida.com/visite-guidate-e-tour-culturali/?idm=1049" TargetMode="External"/><Relationship Id="rId5" Type="http://schemas.openxmlformats.org/officeDocument/2006/relationships/image" Target="media/image1.jpeg"/><Relationship Id="rId15" Type="http://schemas.openxmlformats.org/officeDocument/2006/relationships/hyperlink" Target="https://www.romaguida.com/visite-guidate-e-tour-culturali/?idm=783" TargetMode="External"/><Relationship Id="rId10" Type="http://schemas.openxmlformats.org/officeDocument/2006/relationships/hyperlink" Target="https://www.romaguida.com/visite-guidate-e-tour-culturali/?idm=93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omaguida.com/visite-guidate-e-tour-culturali/?idm=911" TargetMode="External"/><Relationship Id="rId14" Type="http://schemas.openxmlformats.org/officeDocument/2006/relationships/hyperlink" Target="https://www.romaguida.com/visite-guidate-e-tour-culturali/?idm=762"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107</TotalTime>
  <Pages>1</Pages>
  <Words>493</Words>
  <Characters>2815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28</cp:revision>
  <dcterms:created xsi:type="dcterms:W3CDTF">2024-04-08T06:08:00Z</dcterms:created>
  <dcterms:modified xsi:type="dcterms:W3CDTF">2026-01-22T06:48:00Z</dcterms:modified>
</cp:coreProperties>
</file>