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40FD" w14:textId="4A40E2C7" w:rsidR="009039CB" w:rsidRDefault="00B3067C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24003A26" wp14:editId="0FE8F6BE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356D" w14:textId="4F7B6FFB" w:rsidR="00B3067C" w:rsidRDefault="00B3067C" w:rsidP="00B3067C">
      <w:pPr>
        <w:spacing w:after="0"/>
        <w:jc w:val="center"/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</w:pP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Visita guidata</w:t>
      </w:r>
      <w:r w:rsidR="008A3634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con la dott.ssa Valeria Danesi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</w:t>
      </w:r>
    </w:p>
    <w:p w14:paraId="147E9A24" w14:textId="77777777" w:rsidR="008A3634" w:rsidRPr="008A3634" w:rsidRDefault="008A3634" w:rsidP="008A3634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</w:pPr>
      <w:bookmarkStart w:id="0" w:name="_Hlk90884638"/>
      <w:r w:rsidRPr="008A3634"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  <w:t>Notturno Imperiale alle Terme di Caracalla</w:t>
      </w:r>
    </w:p>
    <w:p w14:paraId="6054D746" w14:textId="3E8237EF" w:rsidR="007636F9" w:rsidRDefault="008A3634" w:rsidP="007636F9">
      <w:pPr>
        <w:autoSpaceDE w:val="0"/>
        <w:autoSpaceDN w:val="0"/>
        <w:adjustRightInd w:val="0"/>
        <w:spacing w:after="0"/>
        <w:jc w:val="center"/>
        <w:rPr>
          <w:rFonts w:ascii="Tekton Pro" w:hAnsi="Tekton Pro"/>
          <w:b/>
          <w:bCs/>
          <w:color w:val="008080"/>
          <w:sz w:val="40"/>
          <w:szCs w:val="40"/>
          <w:u w:val="single"/>
        </w:rPr>
      </w:pP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G</w:t>
      </w:r>
      <w:r w:rsidRPr="008A3634">
        <w:rPr>
          <w:rFonts w:ascii="Tekton Pro" w:hAnsi="Tekton Pro"/>
          <w:b/>
          <w:bCs/>
          <w:color w:val="008080"/>
          <w:sz w:val="40"/>
          <w:szCs w:val="40"/>
          <w:u w:val="single"/>
        </w:rPr>
        <w:t>iovedì 15 ottobre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- ore 1</w:t>
      </w:r>
      <w:r>
        <w:rPr>
          <w:rFonts w:ascii="Tekton Pro" w:hAnsi="Tekton Pro"/>
          <w:b/>
          <w:bCs/>
          <w:color w:val="008080"/>
          <w:sz w:val="36"/>
          <w:szCs w:val="36"/>
          <w:u w:val="single"/>
        </w:rPr>
        <w:t>9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:</w:t>
      </w:r>
      <w:r>
        <w:rPr>
          <w:rFonts w:ascii="Tekton Pro" w:hAnsi="Tekton Pro"/>
          <w:b/>
          <w:bCs/>
          <w:color w:val="008080"/>
          <w:sz w:val="36"/>
          <w:szCs w:val="36"/>
          <w:u w:val="single"/>
        </w:rPr>
        <w:t>3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</w:p>
    <w:bookmarkEnd w:id="0"/>
    <w:p w14:paraId="61B24F3C" w14:textId="68EABCA6" w:rsidR="00B3067C" w:rsidRDefault="008A3634" w:rsidP="00B3067C">
      <w:pPr>
        <w:spacing w:after="0"/>
        <w:jc w:val="center"/>
        <w:rPr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49FEA391" wp14:editId="0250D77D">
            <wp:extent cx="6120130" cy="3442335"/>
            <wp:effectExtent l="0" t="0" r="0" b="5715"/>
            <wp:docPr id="1482523240" name="Immagine 1" descr="La notte splende alle Terme di Caracalla: le aperture serali | 9-29  settembre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notte splende alle Terme di Caracalla: le aperture serali | 9-29  settembre 20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62FE6" w14:textId="77777777" w:rsidR="008A3634" w:rsidRPr="008A3634" w:rsidRDefault="008A3634" w:rsidP="008A3634">
      <w:pPr>
        <w:pStyle w:val="Default"/>
        <w:jc w:val="both"/>
        <w:rPr>
          <w:rFonts w:ascii="Candara" w:hAnsi="Candara" w:cs="Times New Roman"/>
          <w:i/>
        </w:rPr>
      </w:pPr>
      <w:r w:rsidRPr="008A3634">
        <w:rPr>
          <w:rFonts w:ascii="Candara" w:hAnsi="Candara" w:cs="Times New Roman"/>
          <w:b/>
          <w:bCs/>
          <w:i/>
        </w:rPr>
        <w:t xml:space="preserve">Notturno Imperiale </w:t>
      </w:r>
      <w:r w:rsidRPr="008A3634">
        <w:rPr>
          <w:rFonts w:ascii="Candara" w:hAnsi="Candara" w:cs="Times New Roman"/>
          <w:i/>
        </w:rPr>
        <w:t xml:space="preserve">è l’occasione perfetta per scoprire, </w:t>
      </w:r>
      <w:r w:rsidRPr="008A3634">
        <w:rPr>
          <w:rFonts w:ascii="Candara" w:hAnsi="Candara" w:cs="Times New Roman"/>
          <w:b/>
          <w:bCs/>
          <w:i/>
        </w:rPr>
        <w:t>al chiaro di luna</w:t>
      </w:r>
      <w:r w:rsidRPr="008A3634">
        <w:rPr>
          <w:rFonts w:ascii="Candara" w:hAnsi="Candara" w:cs="Times New Roman"/>
          <w:i/>
        </w:rPr>
        <w:t>, i segreti di uno degli edifici imperiali più vasti e meglio conservati di Roma.</w:t>
      </w:r>
    </w:p>
    <w:p w14:paraId="3D864892" w14:textId="6CDD7326" w:rsidR="008A3634" w:rsidRPr="008A3634" w:rsidRDefault="008A3634" w:rsidP="008A3634">
      <w:pPr>
        <w:pStyle w:val="Default"/>
        <w:jc w:val="both"/>
        <w:rPr>
          <w:rFonts w:ascii="Candara" w:hAnsi="Candara" w:cs="Times New Roman"/>
          <w:i/>
        </w:rPr>
      </w:pPr>
      <w:r>
        <w:rPr>
          <w:rFonts w:ascii="Candara" w:hAnsi="Candara" w:cs="Times New Roman"/>
          <w:i/>
        </w:rPr>
        <w:t>L</w:t>
      </w:r>
      <w:r w:rsidRPr="008A3634">
        <w:rPr>
          <w:rFonts w:ascii="Candara" w:hAnsi="Candara" w:cs="Times New Roman"/>
          <w:i/>
        </w:rPr>
        <w:t xml:space="preserve">e maestose architetture degli ambienti termali si svelano attraverso la </w:t>
      </w:r>
      <w:r w:rsidRPr="008A3634">
        <w:rPr>
          <w:rFonts w:ascii="Candara" w:hAnsi="Candara" w:cs="Times New Roman"/>
          <w:b/>
          <w:bCs/>
          <w:i/>
        </w:rPr>
        <w:t>profondità dell’illuminotecnica</w:t>
      </w:r>
      <w:r w:rsidRPr="008A3634">
        <w:rPr>
          <w:rFonts w:ascii="Candara" w:hAnsi="Candara" w:cs="Times New Roman"/>
          <w:i/>
        </w:rPr>
        <w:t xml:space="preserve"> per permettere, a chi le ammira, di immergersi in un’atmosfera di grande suggestione.</w:t>
      </w:r>
      <w:r>
        <w:rPr>
          <w:rFonts w:ascii="Candara" w:hAnsi="Candara" w:cs="Times New Roman"/>
          <w:i/>
        </w:rPr>
        <w:t xml:space="preserve"> </w:t>
      </w:r>
      <w:r w:rsidRPr="008A3634">
        <w:rPr>
          <w:rFonts w:ascii="Candara" w:hAnsi="Candara" w:cs="Times New Roman"/>
          <w:i/>
        </w:rPr>
        <w:t>Nell’itinerario serale si inseriscono anche le visite alle gallerie sotterranee con l’</w:t>
      </w:r>
      <w:r w:rsidRPr="008A3634">
        <w:rPr>
          <w:rFonts w:ascii="Candara" w:hAnsi="Candara" w:cs="Times New Roman"/>
          <w:b/>
          <w:bCs/>
          <w:i/>
        </w:rPr>
        <w:t>Antiquarium</w:t>
      </w:r>
      <w:r w:rsidRPr="008A3634">
        <w:rPr>
          <w:rFonts w:ascii="Candara" w:hAnsi="Candara" w:cs="Times New Roman"/>
          <w:i/>
        </w:rPr>
        <w:t> e il </w:t>
      </w:r>
      <w:r w:rsidRPr="008A3634">
        <w:rPr>
          <w:rFonts w:ascii="Candara" w:hAnsi="Candara" w:cs="Times New Roman"/>
          <w:b/>
          <w:bCs/>
          <w:i/>
        </w:rPr>
        <w:t>Mitreo</w:t>
      </w:r>
      <w:r w:rsidRPr="008A3634">
        <w:rPr>
          <w:rFonts w:ascii="Candara" w:hAnsi="Candara" w:cs="Times New Roman"/>
          <w:i/>
        </w:rPr>
        <w:t xml:space="preserve">: ambienti segreti che nascondono i reperti architettonici più significativi del complesso archeologico come i </w:t>
      </w:r>
      <w:r w:rsidRPr="008A3634">
        <w:rPr>
          <w:rFonts w:ascii="Candara" w:hAnsi="Candara" w:cs="Times New Roman"/>
          <w:b/>
          <w:bCs/>
          <w:i/>
        </w:rPr>
        <w:t>capitelli figurati</w:t>
      </w:r>
      <w:r w:rsidRPr="008A3634">
        <w:rPr>
          <w:rFonts w:ascii="Candara" w:hAnsi="Candara" w:cs="Times New Roman"/>
          <w:i/>
        </w:rPr>
        <w:t xml:space="preserve"> e le strutture di servizio che consentono di comprendere la complessa macchina tecnologica che garantiva il funzionamento delle Terme.</w:t>
      </w:r>
    </w:p>
    <w:p w14:paraId="639ADBFC" w14:textId="77777777" w:rsidR="008A3634" w:rsidRPr="008A3634" w:rsidRDefault="008A3634" w:rsidP="008A3634">
      <w:pPr>
        <w:pStyle w:val="Default"/>
        <w:jc w:val="both"/>
        <w:rPr>
          <w:rFonts w:ascii="Candara" w:hAnsi="Candara" w:cs="Times New Roman"/>
          <w:i/>
        </w:rPr>
      </w:pPr>
      <w:r w:rsidRPr="008A3634">
        <w:rPr>
          <w:rFonts w:ascii="Candara" w:hAnsi="Candara" w:cs="Times New Roman"/>
          <w:i/>
        </w:rPr>
        <w:t xml:space="preserve">Il celebre sito archeologico è un luogo in cui il passato e il presente si incontrano e si fondono in un dialogo continuo. In esso, le </w:t>
      </w:r>
      <w:r w:rsidRPr="008A3634">
        <w:rPr>
          <w:rFonts w:ascii="Candara" w:hAnsi="Candara" w:cs="Times New Roman"/>
          <w:b/>
          <w:bCs/>
          <w:i/>
        </w:rPr>
        <w:t>antiche testimonianze</w:t>
      </w:r>
      <w:r w:rsidRPr="008A3634">
        <w:rPr>
          <w:rFonts w:ascii="Candara" w:hAnsi="Candara" w:cs="Times New Roman"/>
          <w:i/>
        </w:rPr>
        <w:t xml:space="preserve"> convivono con </w:t>
      </w:r>
      <w:r w:rsidRPr="008A3634">
        <w:rPr>
          <w:rFonts w:ascii="Candara" w:hAnsi="Candara" w:cs="Times New Roman"/>
          <w:b/>
          <w:bCs/>
          <w:i/>
        </w:rPr>
        <w:t>opere d’arte contemporanea</w:t>
      </w:r>
      <w:r w:rsidRPr="008A3634">
        <w:rPr>
          <w:rFonts w:ascii="Candara" w:hAnsi="Candara" w:cs="Times New Roman"/>
          <w:i/>
        </w:rPr>
        <w:t xml:space="preserve"> e con lo </w:t>
      </w:r>
      <w:r w:rsidRPr="008A3634">
        <w:rPr>
          <w:rFonts w:ascii="Candara" w:hAnsi="Candara" w:cs="Times New Roman"/>
          <w:b/>
          <w:bCs/>
          <w:i/>
        </w:rPr>
        <w:t>Specchio</w:t>
      </w:r>
      <w:r w:rsidRPr="008A3634">
        <w:rPr>
          <w:rFonts w:ascii="Candara" w:hAnsi="Candara" w:cs="Times New Roman"/>
          <w:i/>
        </w:rPr>
        <w:t>, che, attraverso i suoi riflessi e giochi d’acqua e di luce, rende ancora più suggestivo il suo fascino immortale.</w:t>
      </w:r>
    </w:p>
    <w:p w14:paraId="6967FD09" w14:textId="77D45674" w:rsidR="00B3067C" w:rsidRDefault="00BE7241" w:rsidP="00D71BC6">
      <w:pPr>
        <w:pStyle w:val="Default"/>
        <w:rPr>
          <w:rFonts w:ascii="Verdana" w:hAnsi="Verdana"/>
          <w:b/>
          <w:color w:val="FF0000"/>
          <w:sz w:val="21"/>
          <w:szCs w:val="21"/>
          <w:u w:val="single"/>
        </w:rPr>
      </w:pPr>
      <w:r w:rsidRPr="006A781C">
        <w:rPr>
          <w:rFonts w:ascii="Albertus Medium" w:hAnsi="Albertus Medium"/>
          <w:b/>
          <w:color w:val="000080"/>
          <w:sz w:val="28"/>
          <w:szCs w:val="28"/>
        </w:rPr>
        <w:t xml:space="preserve">Quota </w:t>
      </w:r>
      <w:r w:rsidR="00D71BC6">
        <w:rPr>
          <w:rFonts w:ascii="Albertus Medium" w:hAnsi="Albertus Medium"/>
          <w:b/>
          <w:color w:val="000080"/>
          <w:sz w:val="28"/>
          <w:szCs w:val="28"/>
        </w:rPr>
        <w:t>unica</w:t>
      </w:r>
      <w:r w:rsidR="00B3067C">
        <w:rPr>
          <w:rFonts w:ascii="Calibri" w:hAnsi="Calibri" w:cs="Calibri"/>
          <w:b/>
          <w:bCs/>
          <w:sz w:val="32"/>
          <w:szCs w:val="32"/>
        </w:rPr>
        <w:t>: €</w:t>
      </w:r>
      <w:r w:rsidR="008A3634">
        <w:rPr>
          <w:rFonts w:ascii="Calibri" w:hAnsi="Calibri" w:cs="Calibri"/>
          <w:b/>
          <w:bCs/>
          <w:sz w:val="32"/>
          <w:szCs w:val="32"/>
        </w:rPr>
        <w:t>8</w:t>
      </w:r>
      <w:r w:rsidR="00D71BC6">
        <w:rPr>
          <w:rFonts w:ascii="Calibri" w:hAnsi="Calibri" w:cs="Calibri"/>
          <w:b/>
          <w:bCs/>
          <w:sz w:val="32"/>
          <w:szCs w:val="32"/>
        </w:rPr>
        <w:t>.</w:t>
      </w:r>
    </w:p>
    <w:p w14:paraId="368B15A0" w14:textId="3FFA4187" w:rsidR="00B3067C" w:rsidRDefault="00B3067C" w:rsidP="0074104D">
      <w:pPr>
        <w:pStyle w:val="Paragrafoelenco"/>
        <w:spacing w:after="0"/>
        <w:ind w:left="0"/>
        <w:rPr>
          <w:rFonts w:ascii="Verdana" w:hAnsi="Verdana"/>
          <w:b/>
          <w:bCs/>
          <w:color w:val="000080"/>
          <w:sz w:val="20"/>
          <w:szCs w:val="20"/>
          <w:u w:val="single"/>
        </w:rPr>
      </w:pPr>
      <w:r w:rsidRPr="0052530B">
        <w:rPr>
          <w:rFonts w:ascii="Verdana" w:hAnsi="Verdana"/>
          <w:color w:val="000080"/>
          <w:sz w:val="20"/>
          <w:szCs w:val="20"/>
          <w:u w:val="single"/>
        </w:rPr>
        <w:t>La quota comprende il biglietto d’ingresso</w:t>
      </w:r>
      <w:r w:rsidR="008A3634">
        <w:rPr>
          <w:rFonts w:ascii="Verdana" w:hAnsi="Verdana"/>
          <w:color w:val="000080"/>
          <w:sz w:val="20"/>
          <w:szCs w:val="20"/>
          <w:u w:val="single"/>
        </w:rPr>
        <w:t>; i costi della visita guidata sono a carico di AIDA</w:t>
      </w:r>
      <w:r w:rsidRPr="0052530B">
        <w:rPr>
          <w:rFonts w:ascii="Verdana" w:hAnsi="Verdana"/>
          <w:color w:val="000080"/>
          <w:sz w:val="20"/>
          <w:szCs w:val="20"/>
          <w:u w:val="single"/>
        </w:rPr>
        <w:t>.</w:t>
      </w:r>
      <w:r w:rsidR="0074104D">
        <w:rPr>
          <w:rFonts w:ascii="Verdana" w:hAnsi="Verdana"/>
          <w:color w:val="000080"/>
          <w:sz w:val="20"/>
          <w:szCs w:val="20"/>
          <w:u w:val="single"/>
        </w:rPr>
        <w:t xml:space="preserve"> </w:t>
      </w:r>
    </w:p>
    <w:p w14:paraId="0FF099FD" w14:textId="77777777" w:rsidR="00B3067C" w:rsidRPr="007768C8" w:rsidRDefault="00B3067C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1C5031DD" w14:textId="77777777" w:rsidR="00B3067C" w:rsidRDefault="00B3067C" w:rsidP="00B3067C">
      <w:pPr>
        <w:spacing w:after="0"/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p w14:paraId="3648C010" w14:textId="16DF9C97" w:rsidR="00B3067C" w:rsidRDefault="00B3067C" w:rsidP="00B3067C">
      <w:pPr>
        <w:ind w:left="-142"/>
      </w:pPr>
      <w:r w:rsidRPr="00C47ADD">
        <w:rPr>
          <w:rFonts w:ascii="Calibri" w:hAnsi="Calibri"/>
          <w:b/>
          <w:noProof/>
          <w:sz w:val="20"/>
        </w:rPr>
        <w:t xml:space="preserve">Questo comunicato è presente all’indirizzo </w:t>
      </w:r>
      <w:hyperlink r:id="rId7" w:history="1">
        <w:r w:rsidRPr="00815678">
          <w:rPr>
            <w:rStyle w:val="Collegamentoipertestuale"/>
            <w:rFonts w:ascii="Calibri" w:hAnsi="Calibri"/>
            <w:b/>
            <w:noProof/>
            <w:sz w:val="20"/>
          </w:rPr>
          <w:t>http://www.aida-gruppoalmaviva.it</w:t>
        </w:r>
      </w:hyperlink>
    </w:p>
    <w:sectPr w:rsidR="00B30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F6"/>
    <w:rsid w:val="000E06C3"/>
    <w:rsid w:val="00271CBB"/>
    <w:rsid w:val="00352D22"/>
    <w:rsid w:val="004D121D"/>
    <w:rsid w:val="0074104D"/>
    <w:rsid w:val="007636F9"/>
    <w:rsid w:val="00886DFB"/>
    <w:rsid w:val="008A3634"/>
    <w:rsid w:val="009039CB"/>
    <w:rsid w:val="009C7CD9"/>
    <w:rsid w:val="00B3067C"/>
    <w:rsid w:val="00BB4426"/>
    <w:rsid w:val="00BE7241"/>
    <w:rsid w:val="00D71BC6"/>
    <w:rsid w:val="00D913F6"/>
    <w:rsid w:val="00E1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7D4"/>
  <w15:chartTrackingRefBased/>
  <w15:docId w15:val="{E4E8842D-CD51-4A55-BE6F-5017B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3067C"/>
    <w:pPr>
      <w:keepNext/>
      <w:tabs>
        <w:tab w:val="left" w:pos="8780"/>
      </w:tabs>
      <w:spacing w:after="0" w:line="240" w:lineRule="auto"/>
      <w:ind w:right="566"/>
      <w:jc w:val="center"/>
      <w:outlineLvl w:val="0"/>
    </w:pPr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067C"/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B306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B306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rsid w:val="00B3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ida-gruppoalmavi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11</cp:revision>
  <dcterms:created xsi:type="dcterms:W3CDTF">2023-02-27T07:50:00Z</dcterms:created>
  <dcterms:modified xsi:type="dcterms:W3CDTF">2026-10-07T14:20:00Z</dcterms:modified>
</cp:coreProperties>
</file>