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40FD" w14:textId="4A40E2C7" w:rsidR="009039CB" w:rsidRDefault="00B3067C">
      <w:r>
        <w:rPr>
          <w:rFonts w:ascii="Century Gothic" w:hAnsi="Century Gothic"/>
          <w:b/>
          <w:noProof/>
          <w:sz w:val="32"/>
          <w:szCs w:val="32"/>
        </w:rPr>
        <w:drawing>
          <wp:inline distT="0" distB="0" distL="0" distR="0" wp14:anchorId="24003A26" wp14:editId="0FE8F6BE">
            <wp:extent cx="742950" cy="7905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14:paraId="0617356D" w14:textId="2D8C1E39" w:rsidR="00B3067C" w:rsidRDefault="00B3067C" w:rsidP="00B3067C">
      <w:pPr>
        <w:spacing w:after="0"/>
        <w:jc w:val="center"/>
        <w:rPr>
          <w:rFonts w:ascii="Tekton Pro" w:hAnsi="Tekton Pro"/>
          <w:b/>
          <w:bCs/>
          <w:i/>
          <w:color w:val="008080"/>
          <w:sz w:val="36"/>
          <w:szCs w:val="36"/>
          <w:u w:val="single"/>
        </w:rPr>
      </w:pPr>
      <w:r>
        <w:rPr>
          <w:rFonts w:ascii="Tekton Pro" w:hAnsi="Tekton Pro"/>
          <w:b/>
          <w:bCs/>
          <w:i/>
          <w:color w:val="008080"/>
          <w:sz w:val="36"/>
          <w:szCs w:val="36"/>
          <w:u w:val="single"/>
        </w:rPr>
        <w:t>Visita guidata</w:t>
      </w:r>
      <w:r w:rsidR="008A3634">
        <w:rPr>
          <w:rFonts w:ascii="Tekton Pro" w:hAnsi="Tekton Pro"/>
          <w:b/>
          <w:bCs/>
          <w:i/>
          <w:color w:val="008080"/>
          <w:sz w:val="36"/>
          <w:szCs w:val="36"/>
          <w:u w:val="single"/>
        </w:rPr>
        <w:t xml:space="preserve"> con la dott.ssa </w:t>
      </w:r>
      <w:r w:rsidR="009C2F66">
        <w:rPr>
          <w:rFonts w:ascii="Tekton Pro" w:hAnsi="Tekton Pro"/>
          <w:b/>
          <w:bCs/>
          <w:i/>
          <w:color w:val="008080"/>
          <w:sz w:val="36"/>
          <w:szCs w:val="36"/>
          <w:u w:val="single"/>
        </w:rPr>
        <w:t>Marzia De Marzio</w:t>
      </w:r>
      <w:r>
        <w:rPr>
          <w:rFonts w:ascii="Tekton Pro" w:hAnsi="Tekton Pro"/>
          <w:b/>
          <w:bCs/>
          <w:i/>
          <w:color w:val="008080"/>
          <w:sz w:val="36"/>
          <w:szCs w:val="36"/>
          <w:u w:val="single"/>
        </w:rPr>
        <w:t xml:space="preserve"> </w:t>
      </w:r>
    </w:p>
    <w:p w14:paraId="2BA4057C" w14:textId="171B8326" w:rsidR="00EE315E" w:rsidRPr="00EE315E" w:rsidRDefault="00EE315E" w:rsidP="00EE315E">
      <w:pPr>
        <w:autoSpaceDE w:val="0"/>
        <w:autoSpaceDN w:val="0"/>
        <w:adjustRightInd w:val="0"/>
        <w:spacing w:after="0"/>
        <w:jc w:val="center"/>
        <w:rPr>
          <w:rFonts w:ascii="Arial" w:eastAsia="Times New Roman" w:hAnsi="Arial" w:cs="Times New Roman"/>
          <w:b/>
          <w:bCs/>
          <w:i/>
          <w:sz w:val="52"/>
          <w:szCs w:val="52"/>
          <w:u w:val="single"/>
          <w:lang w:eastAsia="it-IT"/>
        </w:rPr>
      </w:pPr>
      <w:bookmarkStart w:id="0" w:name="_Hlk90884638"/>
      <w:r>
        <w:rPr>
          <w:rFonts w:ascii="Arial" w:eastAsia="Times New Roman" w:hAnsi="Arial" w:cs="Times New Roman"/>
          <w:b/>
          <w:bCs/>
          <w:i/>
          <w:sz w:val="52"/>
          <w:szCs w:val="52"/>
          <w:u w:val="single"/>
          <w:lang w:eastAsia="it-IT"/>
        </w:rPr>
        <w:t xml:space="preserve">Mostra: </w:t>
      </w:r>
      <w:r w:rsidR="009C2F66">
        <w:rPr>
          <w:rFonts w:ascii="Arial" w:eastAsia="Times New Roman" w:hAnsi="Arial" w:cs="Times New Roman"/>
          <w:b/>
          <w:bCs/>
          <w:i/>
          <w:sz w:val="52"/>
          <w:szCs w:val="52"/>
          <w:u w:val="single"/>
          <w:lang w:eastAsia="it-IT"/>
        </w:rPr>
        <w:t>PONTORMO</w:t>
      </w:r>
    </w:p>
    <w:p w14:paraId="68744AE9" w14:textId="77777777" w:rsidR="009C2F66" w:rsidRDefault="009B0C43" w:rsidP="007636F9">
      <w:pPr>
        <w:autoSpaceDE w:val="0"/>
        <w:autoSpaceDN w:val="0"/>
        <w:adjustRightInd w:val="0"/>
        <w:spacing w:after="0"/>
        <w:jc w:val="center"/>
        <w:rPr>
          <w:rFonts w:ascii="Tekton Pro" w:hAnsi="Tekton Pro"/>
          <w:b/>
          <w:bCs/>
          <w:color w:val="008080"/>
          <w:sz w:val="36"/>
          <w:szCs w:val="36"/>
          <w:u w:val="single"/>
        </w:rPr>
      </w:pPr>
      <w:r>
        <w:rPr>
          <w:rFonts w:ascii="Tekton Pro" w:hAnsi="Tekton Pro"/>
          <w:b/>
          <w:bCs/>
          <w:color w:val="008080"/>
          <w:sz w:val="40"/>
          <w:szCs w:val="40"/>
          <w:u w:val="single"/>
        </w:rPr>
        <w:t>Sabato</w:t>
      </w:r>
      <w:r w:rsidR="008A3634" w:rsidRPr="008A3634">
        <w:rPr>
          <w:rFonts w:ascii="Tekton Pro" w:hAnsi="Tekton Pro"/>
          <w:b/>
          <w:bCs/>
          <w:color w:val="008080"/>
          <w:sz w:val="40"/>
          <w:szCs w:val="40"/>
          <w:u w:val="single"/>
        </w:rPr>
        <w:t xml:space="preserve"> </w:t>
      </w:r>
      <w:r>
        <w:rPr>
          <w:rFonts w:ascii="Tekton Pro" w:hAnsi="Tekton Pro"/>
          <w:b/>
          <w:bCs/>
          <w:color w:val="008080"/>
          <w:sz w:val="40"/>
          <w:szCs w:val="40"/>
          <w:u w:val="single"/>
        </w:rPr>
        <w:t>2</w:t>
      </w:r>
      <w:r w:rsidR="009C2F66">
        <w:rPr>
          <w:rFonts w:ascii="Tekton Pro" w:hAnsi="Tekton Pro"/>
          <w:b/>
          <w:bCs/>
          <w:color w:val="008080"/>
          <w:sz w:val="40"/>
          <w:szCs w:val="40"/>
          <w:u w:val="single"/>
        </w:rPr>
        <w:t>8</w:t>
      </w:r>
      <w:r w:rsidR="008A3634" w:rsidRPr="008A3634">
        <w:rPr>
          <w:rFonts w:ascii="Tekton Pro" w:hAnsi="Tekton Pro"/>
          <w:b/>
          <w:bCs/>
          <w:color w:val="008080"/>
          <w:sz w:val="40"/>
          <w:szCs w:val="40"/>
          <w:u w:val="single"/>
        </w:rPr>
        <w:t xml:space="preserve"> </w:t>
      </w:r>
      <w:r>
        <w:rPr>
          <w:rFonts w:ascii="Tekton Pro" w:hAnsi="Tekton Pro"/>
          <w:b/>
          <w:bCs/>
          <w:color w:val="008080"/>
          <w:sz w:val="40"/>
          <w:szCs w:val="40"/>
          <w:u w:val="single"/>
        </w:rPr>
        <w:t>novem</w:t>
      </w:r>
      <w:r w:rsidR="008A3634" w:rsidRPr="008A3634">
        <w:rPr>
          <w:rFonts w:ascii="Tekton Pro" w:hAnsi="Tekton Pro"/>
          <w:b/>
          <w:bCs/>
          <w:color w:val="008080"/>
          <w:sz w:val="40"/>
          <w:szCs w:val="40"/>
          <w:u w:val="single"/>
        </w:rPr>
        <w:t>bre</w:t>
      </w:r>
      <w:r w:rsidR="007636F9" w:rsidRPr="009C7CD9">
        <w:rPr>
          <w:rFonts w:ascii="Tekton Pro" w:hAnsi="Tekton Pro"/>
          <w:b/>
          <w:bCs/>
          <w:color w:val="008080"/>
          <w:sz w:val="36"/>
          <w:szCs w:val="36"/>
          <w:u w:val="single"/>
        </w:rPr>
        <w:t xml:space="preserve"> ore </w:t>
      </w:r>
      <w:r w:rsidR="009C2F66" w:rsidRPr="009C2F66">
        <w:rPr>
          <w:rFonts w:ascii="Tekton Pro" w:hAnsi="Tekton Pro"/>
          <w:b/>
          <w:bCs/>
          <w:color w:val="008080"/>
          <w:sz w:val="36"/>
          <w:szCs w:val="36"/>
          <w:u w:val="single"/>
        </w:rPr>
        <w:t>13:45</w:t>
      </w:r>
    </w:p>
    <w:p w14:paraId="6054D746" w14:textId="0217DC8A" w:rsidR="007636F9" w:rsidRDefault="009C2F66" w:rsidP="007636F9">
      <w:pPr>
        <w:autoSpaceDE w:val="0"/>
        <w:autoSpaceDN w:val="0"/>
        <w:adjustRightInd w:val="0"/>
        <w:spacing w:after="0"/>
        <w:jc w:val="center"/>
        <w:rPr>
          <w:rFonts w:ascii="Tekton Pro" w:hAnsi="Tekton Pro"/>
          <w:b/>
          <w:bCs/>
          <w:color w:val="008080"/>
          <w:sz w:val="40"/>
          <w:szCs w:val="40"/>
          <w:u w:val="single"/>
        </w:rPr>
      </w:pPr>
      <w:r w:rsidRPr="009C2F66">
        <w:rPr>
          <w:rFonts w:ascii="Tekton Pro" w:hAnsi="Tekton Pro"/>
          <w:b/>
          <w:bCs/>
          <w:color w:val="008080"/>
          <w:sz w:val="40"/>
          <w:szCs w:val="40"/>
          <w:u w:val="single"/>
        </w:rPr>
        <w:t>Scuderie del Quirinale</w:t>
      </w:r>
    </w:p>
    <w:bookmarkEnd w:id="0"/>
    <w:p w14:paraId="61B24F3C" w14:textId="4D107F63" w:rsidR="00B3067C" w:rsidRDefault="009C2F66" w:rsidP="00B3067C">
      <w:pPr>
        <w:spacing w:after="0"/>
        <w:jc w:val="center"/>
        <w:rPr>
          <w:sz w:val="32"/>
          <w:szCs w:val="32"/>
          <w:lang w:eastAsia="it-IT"/>
        </w:rPr>
      </w:pPr>
      <w:r>
        <w:rPr>
          <w:noProof/>
        </w:rPr>
        <w:drawing>
          <wp:inline distT="0" distB="0" distL="0" distR="0" wp14:anchorId="5706B8E7" wp14:editId="3C9C5317">
            <wp:extent cx="5690198" cy="5052060"/>
            <wp:effectExtent l="0" t="0" r="6350" b="0"/>
            <wp:docPr id="17915810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882" b="10432"/>
                    <a:stretch>
                      <a:fillRect/>
                    </a:stretch>
                  </pic:blipFill>
                  <pic:spPr bwMode="auto">
                    <a:xfrm>
                      <a:off x="0" y="0"/>
                      <a:ext cx="5703394" cy="5063776"/>
                    </a:xfrm>
                    <a:prstGeom prst="rect">
                      <a:avLst/>
                    </a:prstGeom>
                    <a:noFill/>
                    <a:ln>
                      <a:noFill/>
                    </a:ln>
                    <a:extLst>
                      <a:ext uri="{53640926-AAD7-44D8-BBD7-CCE9431645EC}">
                        <a14:shadowObscured xmlns:a14="http://schemas.microsoft.com/office/drawing/2010/main"/>
                      </a:ext>
                    </a:extLst>
                  </pic:spPr>
                </pic:pic>
              </a:graphicData>
            </a:graphic>
          </wp:inline>
        </w:drawing>
      </w:r>
    </w:p>
    <w:p w14:paraId="0E88F3EF" w14:textId="77777777" w:rsidR="00726C95" w:rsidRDefault="009C2F66" w:rsidP="009C2F66">
      <w:pPr>
        <w:pStyle w:val="Default"/>
        <w:jc w:val="center"/>
        <w:rPr>
          <w:rFonts w:ascii="Candara" w:hAnsi="Candara" w:cs="Times New Roman"/>
          <w:b/>
          <w:bCs/>
          <w:i/>
          <w:sz w:val="28"/>
          <w:szCs w:val="28"/>
        </w:rPr>
      </w:pPr>
      <w:r w:rsidRPr="009C2F66">
        <w:rPr>
          <w:rFonts w:ascii="Candara" w:hAnsi="Candara" w:cs="Times New Roman"/>
          <w:b/>
          <w:bCs/>
          <w:i/>
          <w:sz w:val="28"/>
          <w:szCs w:val="28"/>
        </w:rPr>
        <w:t>Alle Scuderie del Quirinale</w:t>
      </w:r>
      <w:r w:rsidRPr="009C2F66">
        <w:rPr>
          <w:rFonts w:ascii="Candara" w:hAnsi="Candara" w:cs="Times New Roman"/>
          <w:b/>
          <w:bCs/>
          <w:i/>
          <w:sz w:val="28"/>
          <w:szCs w:val="28"/>
        </w:rPr>
        <w:t xml:space="preserve"> l'attesissima mostra su Pontormo, prima grande mostra monografica mai dedicata all'artista!</w:t>
      </w:r>
    </w:p>
    <w:p w14:paraId="43990FB3" w14:textId="71208012" w:rsidR="009C2F66" w:rsidRPr="009C2F66" w:rsidRDefault="00726C95" w:rsidP="009C2F66">
      <w:pPr>
        <w:pStyle w:val="Default"/>
        <w:jc w:val="center"/>
        <w:rPr>
          <w:rFonts w:ascii="Candara" w:hAnsi="Candara"/>
          <w:i/>
          <w:sz w:val="26"/>
          <w:szCs w:val="26"/>
        </w:rPr>
      </w:pPr>
      <w:r w:rsidRPr="00726C95">
        <w:rPr>
          <w:rFonts w:ascii="Candara" w:hAnsi="Candara" w:cs="Times New Roman"/>
          <w:i/>
          <w:sz w:val="26"/>
          <w:szCs w:val="26"/>
        </w:rPr>
        <w:t xml:space="preserve">Nato a Pontorme, Jacopo si trasferì a </w:t>
      </w:r>
      <w:hyperlink r:id="rId6" w:history="1">
        <w:r w:rsidRPr="00726C95">
          <w:t>Firenze</w:t>
        </w:r>
      </w:hyperlink>
      <w:r w:rsidRPr="00726C95">
        <w:rPr>
          <w:rFonts w:ascii="Candara" w:hAnsi="Candara" w:cs="Times New Roman"/>
          <w:i/>
          <w:sz w:val="26"/>
          <w:szCs w:val="26"/>
        </w:rPr>
        <w:t xml:space="preserve"> a tredici anni, formandosi nelle botteghe di maestri come Piero di Cosimo, Fra Bartolomeo e Mariotto Albertinelli, oltre ad aver avuto contatti con </w:t>
      </w:r>
      <w:hyperlink r:id="rId7" w:history="1">
        <w:r w:rsidRPr="00726C95">
          <w:t>Leonardo da Vinci</w:t>
        </w:r>
      </w:hyperlink>
      <w:r w:rsidRPr="00726C95">
        <w:rPr>
          <w:rFonts w:ascii="Candara" w:hAnsi="Candara" w:cs="Times New Roman"/>
          <w:i/>
          <w:sz w:val="26"/>
          <w:szCs w:val="26"/>
        </w:rPr>
        <w:t xml:space="preserve">. Tuttavia, fu il legame con Andrea del Sarto, di cui fu allievo dal 1512, a influenzare profondamente le sue prime opere. Dopo un probabile soggiorno a Roma intorno al 1515, il suo talento fu riconosciuto da artisti come </w:t>
      </w:r>
      <w:hyperlink r:id="rId8" w:history="1">
        <w:r w:rsidRPr="00726C95">
          <w:t>Raffaello Sanzio</w:t>
        </w:r>
      </w:hyperlink>
      <w:r w:rsidRPr="00726C95">
        <w:rPr>
          <w:rFonts w:ascii="Candara" w:hAnsi="Candara" w:cs="Times New Roman"/>
          <w:i/>
          <w:sz w:val="26"/>
          <w:szCs w:val="26"/>
        </w:rPr>
        <w:t xml:space="preserve"> e </w:t>
      </w:r>
      <w:hyperlink r:id="rId9" w:history="1">
        <w:r w:rsidRPr="00726C95">
          <w:t>Michelangelo Buonarroti</w:t>
        </w:r>
      </w:hyperlink>
      <w:r w:rsidRPr="00726C95">
        <w:rPr>
          <w:rFonts w:ascii="Candara" w:hAnsi="Candara" w:cs="Times New Roman"/>
          <w:i/>
          <w:sz w:val="26"/>
          <w:szCs w:val="26"/>
        </w:rPr>
        <w:t xml:space="preserve">, ma Pontormo scelse presto di abbandonare i canoni classici per </w:t>
      </w:r>
      <w:r w:rsidRPr="00726C95">
        <w:rPr>
          <w:rFonts w:ascii="Candara" w:hAnsi="Candara" w:cs="Times New Roman"/>
          <w:i/>
          <w:sz w:val="26"/>
          <w:szCs w:val="26"/>
        </w:rPr>
        <w:lastRenderedPageBreak/>
        <w:t>elaborare un linguaggio autonomo e anticlassico, spesso ispirato anche alle incisioni di Albrecht Dürer.</w:t>
      </w:r>
      <w:r w:rsidR="009C2F66" w:rsidRPr="009C2F66">
        <w:rPr>
          <w:rFonts w:ascii="Candara" w:hAnsi="Candara" w:cs="Times New Roman"/>
          <w:i/>
          <w:sz w:val="26"/>
          <w:szCs w:val="26"/>
        </w:rPr>
        <w:br/>
        <w:t>Jacopo Carucci, universalmente noto come Pontormo dal nome del luogo d’origine, è considerato uno degli interpreti più originali e innovativi della cultura figurativa della Firenze del Cinquecento. </w:t>
      </w:r>
      <w:r w:rsidR="009C2F66">
        <w:rPr>
          <w:rFonts w:ascii="Candara" w:hAnsi="Candara" w:cs="Times New Roman"/>
          <w:i/>
          <w:sz w:val="26"/>
          <w:szCs w:val="26"/>
        </w:rPr>
        <w:t>C</w:t>
      </w:r>
      <w:r w:rsidR="009C2F66" w:rsidRPr="009C2F66">
        <w:rPr>
          <w:rFonts w:ascii="Candara" w:hAnsi="Candara"/>
          <w:i/>
          <w:sz w:val="26"/>
          <w:szCs w:val="26"/>
        </w:rPr>
        <w:t>apofila assoluto della grande stagione del Cinquecento fiorentino che incarna il passaggio dal pieno Rinascimento alla Maniera, innovatore eccentrico dei modelli classici e per questo oggetto di una vasta fortuna novecentesca, da Pasolini a Bill Viola, venerato oggetto del desiderio di collezionisti di tutto il mondo ma popolare ed amato anche dal grande pubblico per i tratti di forte originalità della sua personalità creativa.</w:t>
      </w:r>
    </w:p>
    <w:p w14:paraId="20DAF3C3" w14:textId="7CED84FC" w:rsidR="009C2F66" w:rsidRPr="009C2F66" w:rsidRDefault="009C2F66" w:rsidP="009C2F66">
      <w:pPr>
        <w:pStyle w:val="Default"/>
        <w:jc w:val="center"/>
        <w:rPr>
          <w:rFonts w:ascii="Candara" w:hAnsi="Candara" w:cs="Times New Roman"/>
          <w:i/>
          <w:sz w:val="26"/>
          <w:szCs w:val="26"/>
        </w:rPr>
      </w:pPr>
      <w:r w:rsidRPr="009C2F66">
        <w:rPr>
          <w:rFonts w:ascii="Candara" w:hAnsi="Candara" w:cs="Times New Roman"/>
          <w:i/>
          <w:sz w:val="26"/>
          <w:szCs w:val="26"/>
        </w:rPr>
        <w:t xml:space="preserve">La mostra </w:t>
      </w:r>
      <w:r>
        <w:rPr>
          <w:rFonts w:ascii="Candara" w:hAnsi="Candara" w:cs="Times New Roman"/>
          <w:i/>
          <w:sz w:val="26"/>
          <w:szCs w:val="26"/>
        </w:rPr>
        <w:t>è</w:t>
      </w:r>
      <w:r w:rsidRPr="009C2F66">
        <w:rPr>
          <w:rFonts w:ascii="Candara" w:hAnsi="Candara" w:cs="Times New Roman"/>
          <w:i/>
          <w:sz w:val="26"/>
          <w:szCs w:val="26"/>
        </w:rPr>
        <w:t xml:space="preserve"> l’occasione per vedere riuniti tutti </w:t>
      </w:r>
      <w:r w:rsidRPr="009C2F66">
        <w:rPr>
          <w:rFonts w:ascii="Candara" w:hAnsi="Candara" w:cs="Times New Roman"/>
          <w:b/>
          <w:bCs/>
          <w:i/>
          <w:sz w:val="26"/>
          <w:szCs w:val="26"/>
        </w:rPr>
        <w:t>i principali capolavori dell’artista, insieme a una straordinaria selezione di opere su carta</w:t>
      </w:r>
      <w:r w:rsidRPr="009C2F66">
        <w:rPr>
          <w:rFonts w:ascii="Candara" w:hAnsi="Candara" w:cs="Times New Roman"/>
          <w:i/>
          <w:sz w:val="26"/>
          <w:szCs w:val="26"/>
        </w:rPr>
        <w:t xml:space="preserve">. Oltre al cospicuo numero di opere in arrivo dalle Gallerie degli Uffizi, </w:t>
      </w:r>
      <w:r w:rsidRPr="009C2F66">
        <w:rPr>
          <w:rFonts w:ascii="Candara" w:hAnsi="Candara" w:cs="Times New Roman"/>
          <w:b/>
          <w:bCs/>
          <w:i/>
          <w:sz w:val="26"/>
          <w:szCs w:val="26"/>
        </w:rPr>
        <w:t xml:space="preserve">eccezionali prestiti </w:t>
      </w:r>
      <w:r w:rsidRPr="009C2F66">
        <w:rPr>
          <w:rFonts w:ascii="Candara" w:hAnsi="Candara" w:cs="Times New Roman"/>
          <w:i/>
          <w:sz w:val="26"/>
          <w:szCs w:val="26"/>
        </w:rPr>
        <w:t xml:space="preserve">provenienti da musei e collezioni di tutto il mondo </w:t>
      </w:r>
      <w:r w:rsidR="00726C95" w:rsidRPr="00726C95">
        <w:rPr>
          <w:rFonts w:ascii="Candara" w:hAnsi="Candara" w:cs="Times New Roman"/>
          <w:i/>
          <w:sz w:val="26"/>
          <w:szCs w:val="26"/>
        </w:rPr>
        <w:t>(la Galleria dell’Accademia e Musei del Bargello, l’Istituto Centrale per la Grafica, il Louvre, la National Gallery, il British Museum, il Metropolitan Museum of Art, la National Gallery of Art di Washington, l’Art Institute di Chicago, il Getty Museum di Los Angeles e altri) </w:t>
      </w:r>
      <w:r w:rsidRPr="009C2F66">
        <w:rPr>
          <w:rFonts w:ascii="Candara" w:hAnsi="Candara" w:cs="Times New Roman"/>
          <w:i/>
          <w:sz w:val="26"/>
          <w:szCs w:val="26"/>
        </w:rPr>
        <w:t xml:space="preserve"> </w:t>
      </w:r>
      <w:r w:rsidR="00726C95">
        <w:rPr>
          <w:rFonts w:ascii="Candara" w:hAnsi="Candara" w:cs="Times New Roman"/>
          <w:i/>
          <w:sz w:val="26"/>
          <w:szCs w:val="26"/>
        </w:rPr>
        <w:t>sono</w:t>
      </w:r>
      <w:r w:rsidRPr="009C2F66">
        <w:rPr>
          <w:rFonts w:ascii="Candara" w:hAnsi="Candara" w:cs="Times New Roman"/>
          <w:i/>
          <w:sz w:val="26"/>
          <w:szCs w:val="26"/>
        </w:rPr>
        <w:t xml:space="preserve"> messi a confronto nelle sale delle Scuderie del Quirinale a cominciare dal capolavoro più noto e riconosciuto di Pontormo, la </w:t>
      </w:r>
      <w:r w:rsidRPr="009C2F66">
        <w:rPr>
          <w:rFonts w:ascii="Candara" w:hAnsi="Candara" w:cs="Times New Roman"/>
          <w:i/>
          <w:iCs/>
          <w:sz w:val="26"/>
          <w:szCs w:val="26"/>
        </w:rPr>
        <w:t xml:space="preserve">Visitazione </w:t>
      </w:r>
      <w:r w:rsidRPr="009C2F66">
        <w:rPr>
          <w:rFonts w:ascii="Candara" w:hAnsi="Candara" w:cs="Times New Roman"/>
          <w:i/>
          <w:sz w:val="26"/>
          <w:szCs w:val="26"/>
        </w:rPr>
        <w:t>proveniente dalla Chiesa di San Michele Arcangelo di Carmignano, presso Prato.</w:t>
      </w:r>
    </w:p>
    <w:p w14:paraId="0AC6417B" w14:textId="77777777" w:rsidR="009C2F66" w:rsidRPr="009C2F66" w:rsidRDefault="009C2F66" w:rsidP="009C2F66">
      <w:pPr>
        <w:pStyle w:val="Default"/>
        <w:jc w:val="center"/>
        <w:rPr>
          <w:rFonts w:ascii="Candara" w:hAnsi="Candara" w:cs="Times New Roman"/>
          <w:i/>
          <w:sz w:val="26"/>
          <w:szCs w:val="26"/>
        </w:rPr>
      </w:pPr>
      <w:r w:rsidRPr="009C2F66">
        <w:rPr>
          <w:rFonts w:ascii="Candara" w:hAnsi="Candara" w:cs="Times New Roman"/>
          <w:i/>
          <w:sz w:val="26"/>
          <w:szCs w:val="26"/>
        </w:rPr>
        <w:t>Un percorso di grande spettacolarità prevalentemente cronologico ma non privo di affondi tematici. Per chi vorrà approfondire sarà sempre disponibile la nostra ampia offerta didattica per adulti e bambini con visite guidate e laboratori per bambini e scuole di ogni ordine e grado.</w:t>
      </w:r>
    </w:p>
    <w:p w14:paraId="6967FD09" w14:textId="3D11169D" w:rsidR="00B3067C" w:rsidRDefault="00BE7241" w:rsidP="00D71BC6">
      <w:pPr>
        <w:pStyle w:val="Default"/>
        <w:rPr>
          <w:rFonts w:ascii="Calibri" w:hAnsi="Calibri" w:cs="Calibri"/>
          <w:b/>
          <w:bCs/>
          <w:sz w:val="32"/>
          <w:szCs w:val="32"/>
        </w:rPr>
      </w:pPr>
      <w:r w:rsidRPr="006A781C">
        <w:rPr>
          <w:rFonts w:ascii="Albertus Medium" w:hAnsi="Albertus Medium"/>
          <w:b/>
          <w:color w:val="000080"/>
          <w:sz w:val="28"/>
          <w:szCs w:val="28"/>
        </w:rPr>
        <w:t xml:space="preserve">Quota </w:t>
      </w:r>
      <w:r w:rsidR="00D71BC6">
        <w:rPr>
          <w:rFonts w:ascii="Albertus Medium" w:hAnsi="Albertus Medium"/>
          <w:b/>
          <w:color w:val="000080"/>
          <w:sz w:val="28"/>
          <w:szCs w:val="28"/>
        </w:rPr>
        <w:t>unica</w:t>
      </w:r>
      <w:r w:rsidR="00B3067C">
        <w:rPr>
          <w:rFonts w:ascii="Calibri" w:hAnsi="Calibri" w:cs="Calibri"/>
          <w:b/>
          <w:bCs/>
          <w:sz w:val="32"/>
          <w:szCs w:val="32"/>
        </w:rPr>
        <w:t>: €</w:t>
      </w:r>
      <w:r w:rsidR="009C2F66">
        <w:rPr>
          <w:rFonts w:ascii="Calibri" w:hAnsi="Calibri" w:cs="Calibri"/>
          <w:b/>
          <w:bCs/>
          <w:sz w:val="32"/>
          <w:szCs w:val="32"/>
        </w:rPr>
        <w:t>22</w:t>
      </w:r>
      <w:r w:rsidR="00CB2F12">
        <w:rPr>
          <w:rFonts w:ascii="Calibri" w:hAnsi="Calibri" w:cs="Calibri"/>
          <w:b/>
          <w:bCs/>
          <w:sz w:val="32"/>
          <w:szCs w:val="32"/>
        </w:rPr>
        <w:t>,</w:t>
      </w:r>
      <w:r w:rsidR="009C2F66">
        <w:rPr>
          <w:rFonts w:ascii="Calibri" w:hAnsi="Calibri" w:cs="Calibri"/>
          <w:b/>
          <w:bCs/>
          <w:sz w:val="32"/>
          <w:szCs w:val="32"/>
        </w:rPr>
        <w:t>0</w:t>
      </w:r>
      <w:r w:rsidR="00CB2F12">
        <w:rPr>
          <w:rFonts w:ascii="Calibri" w:hAnsi="Calibri" w:cs="Calibri"/>
          <w:b/>
          <w:bCs/>
          <w:sz w:val="32"/>
          <w:szCs w:val="32"/>
        </w:rPr>
        <w:t>0</w:t>
      </w:r>
      <w:r w:rsidR="00D71BC6">
        <w:rPr>
          <w:rFonts w:ascii="Calibri" w:hAnsi="Calibri" w:cs="Calibri"/>
          <w:b/>
          <w:bCs/>
          <w:sz w:val="32"/>
          <w:szCs w:val="32"/>
        </w:rPr>
        <w:t>.</w:t>
      </w:r>
    </w:p>
    <w:p w14:paraId="368B15A0" w14:textId="7163738A" w:rsidR="00B3067C" w:rsidRDefault="00B3067C" w:rsidP="0074104D">
      <w:pPr>
        <w:pStyle w:val="Paragrafoelenco"/>
        <w:spacing w:after="0"/>
        <w:ind w:left="0"/>
        <w:rPr>
          <w:rFonts w:ascii="Verdana" w:hAnsi="Verdana"/>
          <w:b/>
          <w:bCs/>
          <w:color w:val="000080"/>
          <w:sz w:val="20"/>
          <w:szCs w:val="20"/>
          <w:u w:val="single"/>
        </w:rPr>
      </w:pPr>
      <w:r w:rsidRPr="0052530B">
        <w:rPr>
          <w:rFonts w:ascii="Verdana" w:hAnsi="Verdana"/>
          <w:color w:val="000080"/>
          <w:sz w:val="20"/>
          <w:szCs w:val="20"/>
          <w:u w:val="single"/>
        </w:rPr>
        <w:t>La quota comprende il biglietto d’ingresso</w:t>
      </w:r>
      <w:r w:rsidR="00CB2F12">
        <w:rPr>
          <w:rFonts w:ascii="Verdana" w:hAnsi="Verdana"/>
          <w:color w:val="000080"/>
          <w:sz w:val="20"/>
          <w:szCs w:val="20"/>
          <w:u w:val="single"/>
        </w:rPr>
        <w:t xml:space="preserve"> e il </w:t>
      </w:r>
      <w:proofErr w:type="spellStart"/>
      <w:r w:rsidR="00CB2F12">
        <w:rPr>
          <w:rFonts w:ascii="Verdana" w:hAnsi="Verdana"/>
          <w:color w:val="000080"/>
          <w:sz w:val="20"/>
          <w:szCs w:val="20"/>
          <w:u w:val="single"/>
        </w:rPr>
        <w:t>microfonaggio</w:t>
      </w:r>
      <w:proofErr w:type="spellEnd"/>
      <w:r w:rsidR="008A3634">
        <w:rPr>
          <w:rFonts w:ascii="Verdana" w:hAnsi="Verdana"/>
          <w:color w:val="000080"/>
          <w:sz w:val="20"/>
          <w:szCs w:val="20"/>
          <w:u w:val="single"/>
        </w:rPr>
        <w:t>; i costi della visita guidata sono a carico di AIDA</w:t>
      </w:r>
      <w:r w:rsidRPr="0052530B">
        <w:rPr>
          <w:rFonts w:ascii="Verdana" w:hAnsi="Verdana"/>
          <w:color w:val="000080"/>
          <w:sz w:val="20"/>
          <w:szCs w:val="20"/>
          <w:u w:val="single"/>
        </w:rPr>
        <w:t>.</w:t>
      </w:r>
      <w:r w:rsidR="0074104D">
        <w:rPr>
          <w:rFonts w:ascii="Verdana" w:hAnsi="Verdana"/>
          <w:color w:val="000080"/>
          <w:sz w:val="20"/>
          <w:szCs w:val="20"/>
          <w:u w:val="single"/>
        </w:rPr>
        <w:t xml:space="preserve"> </w:t>
      </w:r>
    </w:p>
    <w:p w14:paraId="0FF099FD" w14:textId="77777777" w:rsidR="00B3067C" w:rsidRPr="007768C8" w:rsidRDefault="00B3067C" w:rsidP="00B3067C">
      <w:pPr>
        <w:pStyle w:val="Paragrafoelenco"/>
        <w:spacing w:after="0"/>
        <w:ind w:left="0"/>
        <w:rPr>
          <w:rFonts w:ascii="Verdana" w:hAnsi="Verdana"/>
          <w:color w:val="000080"/>
        </w:rPr>
      </w:pPr>
      <w:r w:rsidRPr="007768C8">
        <w:rPr>
          <w:rFonts w:ascii="Verdana" w:hAnsi="Verdana"/>
          <w:color w:val="000080"/>
        </w:rPr>
        <w:t>La prenotazione potrà essere effettuata presso:</w:t>
      </w:r>
    </w:p>
    <w:p w14:paraId="1C5031DD" w14:textId="77777777" w:rsidR="00B3067C" w:rsidRDefault="00B3067C" w:rsidP="00B3067C">
      <w:pPr>
        <w:spacing w:after="0"/>
        <w:rPr>
          <w:rFonts w:ascii="Albertus Medium" w:hAnsi="Albertus Medium"/>
          <w:color w:val="000080"/>
          <w:sz w:val="28"/>
          <w:szCs w:val="28"/>
        </w:rPr>
      </w:pPr>
      <w:r w:rsidRPr="00F8251F">
        <w:rPr>
          <w:rFonts w:ascii="Albertus Medium" w:hAnsi="Albertus Medium"/>
          <w:b/>
          <w:color w:val="3366FF"/>
          <w:sz w:val="28"/>
          <w:szCs w:val="28"/>
        </w:rPr>
        <w:t>Martino Nicoletti</w:t>
      </w:r>
      <w:r>
        <w:rPr>
          <w:rFonts w:ascii="Albertus Medium" w:hAnsi="Albertus Medium"/>
          <w:b/>
          <w:color w:val="3366FF"/>
          <w:sz w:val="28"/>
          <w:szCs w:val="28"/>
        </w:rPr>
        <w:t xml:space="preserve">   </w:t>
      </w:r>
      <w:r>
        <w:rPr>
          <w:rFonts w:ascii="Albertus Medium" w:hAnsi="Albertus Medium"/>
          <w:color w:val="000080"/>
          <w:sz w:val="28"/>
          <w:szCs w:val="28"/>
        </w:rPr>
        <w:t xml:space="preserve">-  </w:t>
      </w:r>
      <w:hyperlink r:id="rId10" w:history="1">
        <w:r w:rsidRPr="007C3D9F">
          <w:rPr>
            <w:rStyle w:val="Collegamentoipertestuale"/>
            <w:rFonts w:ascii="Albertus Medium" w:hAnsi="Albertus Medium"/>
            <w:sz w:val="28"/>
            <w:szCs w:val="28"/>
          </w:rPr>
          <w:t>m.nicoletti@almaviva.it</w:t>
        </w:r>
      </w:hyperlink>
    </w:p>
    <w:p w14:paraId="3648C010" w14:textId="16DF9C97" w:rsidR="00B3067C" w:rsidRDefault="00B3067C" w:rsidP="00B3067C">
      <w:pPr>
        <w:ind w:left="-142"/>
      </w:pPr>
      <w:r w:rsidRPr="00C47ADD">
        <w:rPr>
          <w:rFonts w:ascii="Calibri" w:hAnsi="Calibri"/>
          <w:b/>
          <w:noProof/>
          <w:sz w:val="20"/>
        </w:rPr>
        <w:t xml:space="preserve">Questo comunicato è presente all’indirizzo </w:t>
      </w:r>
      <w:hyperlink r:id="rId11" w:history="1">
        <w:r w:rsidRPr="00815678">
          <w:rPr>
            <w:rStyle w:val="Collegamentoipertestuale"/>
            <w:rFonts w:ascii="Calibri" w:hAnsi="Calibri"/>
            <w:b/>
            <w:noProof/>
            <w:sz w:val="20"/>
          </w:rPr>
          <w:t>http://www.aida-gruppoalmaviva.it</w:t>
        </w:r>
      </w:hyperlink>
    </w:p>
    <w:p w14:paraId="7135613D" w14:textId="6D4DA94B" w:rsidR="00726C95" w:rsidRDefault="00726C95" w:rsidP="00726C95">
      <w:pPr>
        <w:ind w:left="-142"/>
        <w:jc w:val="center"/>
      </w:pPr>
      <w:r>
        <w:rPr>
          <w:noProof/>
        </w:rPr>
        <w:drawing>
          <wp:inline distT="0" distB="0" distL="0" distR="0" wp14:anchorId="306A4C4E" wp14:editId="6324C856">
            <wp:extent cx="5361464" cy="3015615"/>
            <wp:effectExtent l="0" t="0" r="0" b="0"/>
            <wp:docPr id="1180946740" name="Immagine 2" descr="Pontormo a Roma, gli sguardi che attraversano i secoli - Vatican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ntormo a Roma, gli sguardi che attraversano i secoli - Vatican Ne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8642" cy="3019652"/>
                    </a:xfrm>
                    <a:prstGeom prst="rect">
                      <a:avLst/>
                    </a:prstGeom>
                    <a:noFill/>
                    <a:ln>
                      <a:noFill/>
                    </a:ln>
                  </pic:spPr>
                </pic:pic>
              </a:graphicData>
            </a:graphic>
          </wp:inline>
        </w:drawing>
      </w:r>
    </w:p>
    <w:sectPr w:rsidR="00726C9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ekton Pro">
    <w:altName w:val="Arial"/>
    <w:panose1 w:val="00000000000000000000"/>
    <w:charset w:val="00"/>
    <w:family w:val="swiss"/>
    <w:notTrueType/>
    <w:pitch w:val="variable"/>
    <w:sig w:usb0="00000001" w:usb1="00000000" w:usb2="00000000" w:usb3="00000000" w:csb0="0000009B" w:csb1="00000000"/>
  </w:font>
  <w:font w:name="Candara">
    <w:panose1 w:val="020E0502030303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F6"/>
    <w:rsid w:val="000E06C3"/>
    <w:rsid w:val="001E1B46"/>
    <w:rsid w:val="00271CBB"/>
    <w:rsid w:val="0031501E"/>
    <w:rsid w:val="00352D22"/>
    <w:rsid w:val="004D121D"/>
    <w:rsid w:val="00726C95"/>
    <w:rsid w:val="0074104D"/>
    <w:rsid w:val="007636F9"/>
    <w:rsid w:val="00815B3A"/>
    <w:rsid w:val="00886DFB"/>
    <w:rsid w:val="008A3634"/>
    <w:rsid w:val="009039CB"/>
    <w:rsid w:val="009B0C43"/>
    <w:rsid w:val="009C2F66"/>
    <w:rsid w:val="009C7CD9"/>
    <w:rsid w:val="00B3067C"/>
    <w:rsid w:val="00BB4426"/>
    <w:rsid w:val="00BE7241"/>
    <w:rsid w:val="00CB2F12"/>
    <w:rsid w:val="00D13686"/>
    <w:rsid w:val="00D71BC6"/>
    <w:rsid w:val="00D913F6"/>
    <w:rsid w:val="00E175D7"/>
    <w:rsid w:val="00EE31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A17D4"/>
  <w15:chartTrackingRefBased/>
  <w15:docId w15:val="{E4E8842D-CD51-4A55-BE6F-5017B3D4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B3067C"/>
    <w:pPr>
      <w:keepNext/>
      <w:tabs>
        <w:tab w:val="left" w:pos="8780"/>
      </w:tabs>
      <w:spacing w:after="0" w:line="240" w:lineRule="auto"/>
      <w:ind w:right="566"/>
      <w:jc w:val="center"/>
      <w:outlineLvl w:val="0"/>
    </w:pPr>
    <w:rPr>
      <w:rFonts w:ascii="Arial" w:eastAsia="Times New Roman" w:hAnsi="Arial" w:cs="Times New Roman"/>
      <w:b/>
      <w:i/>
      <w:sz w:val="64"/>
      <w:szCs w:val="20"/>
      <w:u w:val="single"/>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3067C"/>
    <w:rPr>
      <w:rFonts w:ascii="Arial" w:eastAsia="Times New Roman" w:hAnsi="Arial" w:cs="Times New Roman"/>
      <w:b/>
      <w:i/>
      <w:sz w:val="64"/>
      <w:szCs w:val="20"/>
      <w:u w:val="single"/>
      <w:lang w:eastAsia="it-IT"/>
    </w:rPr>
  </w:style>
  <w:style w:type="paragraph" w:styleId="NormaleWeb">
    <w:name w:val="Normal (Web)"/>
    <w:basedOn w:val="Normale"/>
    <w:uiPriority w:val="99"/>
    <w:semiHidden/>
    <w:unhideWhenUsed/>
    <w:rsid w:val="00B3067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B3067C"/>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qFormat/>
    <w:rsid w:val="00B3067C"/>
    <w:pPr>
      <w:spacing w:after="200" w:line="276" w:lineRule="auto"/>
      <w:ind w:left="720"/>
      <w:contextualSpacing/>
    </w:pPr>
    <w:rPr>
      <w:rFonts w:ascii="Calibri" w:eastAsia="Calibri" w:hAnsi="Calibri" w:cs="Times New Roman"/>
    </w:rPr>
  </w:style>
  <w:style w:type="character" w:styleId="Collegamentoipertestuale">
    <w:name w:val="Hyperlink"/>
    <w:uiPriority w:val="99"/>
    <w:rsid w:val="00B3067C"/>
    <w:rPr>
      <w:color w:val="0000FF"/>
      <w:u w:val="single"/>
    </w:rPr>
  </w:style>
  <w:style w:type="character" w:styleId="Menzionenonrisolta">
    <w:name w:val="Unresolved Mention"/>
    <w:basedOn w:val="Carpredefinitoparagrafo"/>
    <w:uiPriority w:val="99"/>
    <w:semiHidden/>
    <w:unhideWhenUsed/>
    <w:rsid w:val="00726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maguida.com/visite-guidate-e-tour-culturali/?idm=86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omaguida.com/visite-guidate-e-tour-culturali/?idm=18" TargetMode="External"/><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maguida.com/visite-guidate-e-tour-culturali/?idm=2299" TargetMode="External"/><Relationship Id="rId11" Type="http://schemas.openxmlformats.org/officeDocument/2006/relationships/hyperlink" Target="http://www.aida-gruppoalmaviva.it" TargetMode="External"/><Relationship Id="rId5" Type="http://schemas.openxmlformats.org/officeDocument/2006/relationships/image" Target="media/image2.jpeg"/><Relationship Id="rId10" Type="http://schemas.openxmlformats.org/officeDocument/2006/relationships/hyperlink" Target="mailto:m.nicoletti@almaviva.it" TargetMode="External"/><Relationship Id="rId4" Type="http://schemas.openxmlformats.org/officeDocument/2006/relationships/image" Target="media/image1.jpeg"/><Relationship Id="rId9" Type="http://schemas.openxmlformats.org/officeDocument/2006/relationships/hyperlink" Target="https://www.romaguida.com/visite-guidate/itinerari-roma/michelangelo-a-roma/"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64</TotalTime>
  <Pages>2</Pages>
  <Words>497</Words>
  <Characters>2838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16</cp:revision>
  <dcterms:created xsi:type="dcterms:W3CDTF">2023-02-27T07:50:00Z</dcterms:created>
  <dcterms:modified xsi:type="dcterms:W3CDTF">2026-11-04T13:50:00Z</dcterms:modified>
</cp:coreProperties>
</file>